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237" w:rsidRPr="00954546" w:rsidRDefault="004D6237" w:rsidP="004D6237">
      <w:pPr>
        <w:pStyle w:val="Default"/>
        <w:jc w:val="center"/>
        <w:rPr>
          <w:color w:val="auto"/>
          <w:sz w:val="22"/>
          <w:szCs w:val="22"/>
        </w:rPr>
      </w:pPr>
      <w:r w:rsidRPr="00954546">
        <w:rPr>
          <w:b/>
          <w:bCs/>
          <w:color w:val="auto"/>
          <w:sz w:val="22"/>
          <w:szCs w:val="22"/>
        </w:rPr>
        <w:t>MILESTONE WORKGROUP</w:t>
      </w:r>
      <w:r w:rsidR="00CD770F" w:rsidRPr="00954546">
        <w:rPr>
          <w:b/>
          <w:bCs/>
          <w:color w:val="auto"/>
          <w:sz w:val="22"/>
          <w:szCs w:val="22"/>
        </w:rPr>
        <w:t xml:space="preserve"> </w:t>
      </w:r>
      <w:r w:rsidR="00CD770F" w:rsidRPr="00954546">
        <w:rPr>
          <w:b/>
          <w:bCs/>
          <w:color w:val="auto"/>
          <w:sz w:val="28"/>
          <w:szCs w:val="28"/>
        </w:rPr>
        <w:t>C</w:t>
      </w:r>
      <w:r w:rsidR="00CD770F" w:rsidRPr="00954546">
        <w:rPr>
          <w:b/>
          <w:bCs/>
          <w:color w:val="auto"/>
          <w:sz w:val="22"/>
          <w:szCs w:val="22"/>
        </w:rPr>
        <w:t xml:space="preserve">ONFERENCE </w:t>
      </w:r>
      <w:r w:rsidR="00CD770F" w:rsidRPr="00954546">
        <w:rPr>
          <w:b/>
          <w:bCs/>
          <w:color w:val="auto"/>
          <w:sz w:val="28"/>
          <w:szCs w:val="28"/>
        </w:rPr>
        <w:t>C</w:t>
      </w:r>
      <w:r w:rsidR="00CD770F" w:rsidRPr="00954546">
        <w:rPr>
          <w:b/>
          <w:bCs/>
          <w:color w:val="auto"/>
          <w:sz w:val="22"/>
          <w:szCs w:val="22"/>
        </w:rPr>
        <w:t>ALL</w:t>
      </w:r>
    </w:p>
    <w:p w:rsidR="004D6237" w:rsidRPr="00954546" w:rsidRDefault="000F6FFA" w:rsidP="004622CD">
      <w:pPr>
        <w:pStyle w:val="Default"/>
        <w:jc w:val="center"/>
        <w:rPr>
          <w:b/>
          <w:bCs/>
          <w:color w:val="auto"/>
          <w:sz w:val="22"/>
          <w:szCs w:val="22"/>
        </w:rPr>
      </w:pPr>
      <w:r w:rsidRPr="00954546">
        <w:rPr>
          <w:b/>
          <w:bCs/>
          <w:color w:val="auto"/>
          <w:sz w:val="28"/>
          <w:szCs w:val="28"/>
        </w:rPr>
        <w:t>May 28</w:t>
      </w:r>
      <w:r w:rsidR="004D6237" w:rsidRPr="00954546">
        <w:rPr>
          <w:b/>
          <w:bCs/>
          <w:color w:val="auto"/>
          <w:sz w:val="28"/>
          <w:szCs w:val="28"/>
        </w:rPr>
        <w:t>, 201</w:t>
      </w:r>
      <w:r w:rsidR="00686909" w:rsidRPr="00954546">
        <w:rPr>
          <w:b/>
          <w:bCs/>
          <w:color w:val="auto"/>
          <w:sz w:val="28"/>
          <w:szCs w:val="28"/>
        </w:rPr>
        <w:t>3</w:t>
      </w:r>
      <w:r w:rsidRPr="00954546">
        <w:rPr>
          <w:b/>
          <w:bCs/>
          <w:color w:val="auto"/>
          <w:sz w:val="28"/>
          <w:szCs w:val="28"/>
        </w:rPr>
        <w:t>,</w:t>
      </w:r>
      <w:r w:rsidR="00CD770F" w:rsidRPr="00954546">
        <w:rPr>
          <w:b/>
          <w:bCs/>
          <w:color w:val="auto"/>
          <w:sz w:val="28"/>
          <w:szCs w:val="28"/>
        </w:rPr>
        <w:t xml:space="preserve"> </w:t>
      </w:r>
      <w:r w:rsidRPr="00954546">
        <w:rPr>
          <w:b/>
          <w:bCs/>
          <w:color w:val="auto"/>
          <w:sz w:val="28"/>
          <w:szCs w:val="28"/>
        </w:rPr>
        <w:t>3:00 - 4:0</w:t>
      </w:r>
      <w:r w:rsidR="00B06A51" w:rsidRPr="00954546">
        <w:rPr>
          <w:b/>
          <w:bCs/>
          <w:color w:val="auto"/>
          <w:sz w:val="28"/>
          <w:szCs w:val="28"/>
        </w:rPr>
        <w:t>0</w:t>
      </w:r>
      <w:r w:rsidR="00F85FA7" w:rsidRPr="00954546">
        <w:rPr>
          <w:b/>
          <w:bCs/>
          <w:color w:val="auto"/>
          <w:sz w:val="28"/>
          <w:szCs w:val="28"/>
        </w:rPr>
        <w:t xml:space="preserve"> </w:t>
      </w:r>
      <w:r w:rsidRPr="00954546">
        <w:rPr>
          <w:b/>
          <w:bCs/>
          <w:color w:val="auto"/>
          <w:sz w:val="28"/>
          <w:szCs w:val="28"/>
        </w:rPr>
        <w:t>p</w:t>
      </w:r>
      <w:r w:rsidR="00CD770F" w:rsidRPr="00954546">
        <w:rPr>
          <w:b/>
          <w:bCs/>
          <w:color w:val="auto"/>
          <w:sz w:val="28"/>
          <w:szCs w:val="28"/>
        </w:rPr>
        <w:t>m</w:t>
      </w:r>
      <w:r w:rsidR="004D6237" w:rsidRPr="00954546">
        <w:rPr>
          <w:b/>
          <w:bCs/>
          <w:color w:val="auto"/>
          <w:sz w:val="28"/>
          <w:szCs w:val="28"/>
        </w:rPr>
        <w:t xml:space="preserve"> </w:t>
      </w:r>
    </w:p>
    <w:p w:rsidR="008E107D" w:rsidRPr="00954546" w:rsidRDefault="004D6237" w:rsidP="004622CD">
      <w:pPr>
        <w:spacing w:after="0"/>
        <w:jc w:val="center"/>
        <w:rPr>
          <w:sz w:val="23"/>
          <w:szCs w:val="23"/>
        </w:rPr>
      </w:pPr>
      <w:r w:rsidRPr="00954546">
        <w:rPr>
          <w:b/>
          <w:bCs/>
          <w:sz w:val="23"/>
          <w:szCs w:val="23"/>
        </w:rPr>
        <w:t xml:space="preserve">Conference </w:t>
      </w:r>
      <w:r w:rsidR="00486AD1" w:rsidRPr="00954546">
        <w:rPr>
          <w:b/>
          <w:bCs/>
          <w:sz w:val="23"/>
          <w:szCs w:val="23"/>
        </w:rPr>
        <w:t>Line</w:t>
      </w:r>
      <w:r w:rsidRPr="00954546">
        <w:rPr>
          <w:b/>
          <w:bCs/>
          <w:sz w:val="23"/>
          <w:szCs w:val="23"/>
        </w:rPr>
        <w:t xml:space="preserve">: </w:t>
      </w:r>
      <w:r w:rsidR="00486AD1" w:rsidRPr="00954546">
        <w:rPr>
          <w:sz w:val="23"/>
          <w:szCs w:val="23"/>
        </w:rPr>
        <w:t>866-299-3188,</w:t>
      </w:r>
      <w:r w:rsidR="00486AD1" w:rsidRPr="00954546">
        <w:rPr>
          <w:b/>
          <w:sz w:val="23"/>
          <w:szCs w:val="23"/>
        </w:rPr>
        <w:t xml:space="preserve"> C</w:t>
      </w:r>
      <w:r w:rsidRPr="00954546">
        <w:rPr>
          <w:b/>
          <w:sz w:val="23"/>
          <w:szCs w:val="23"/>
        </w:rPr>
        <w:t>ode</w:t>
      </w:r>
      <w:r w:rsidR="00486AD1" w:rsidRPr="00954546">
        <w:rPr>
          <w:sz w:val="23"/>
          <w:szCs w:val="23"/>
        </w:rPr>
        <w:t>:</w:t>
      </w:r>
      <w:r w:rsidRPr="00954546">
        <w:rPr>
          <w:sz w:val="23"/>
          <w:szCs w:val="23"/>
        </w:rPr>
        <w:t xml:space="preserve"> </w:t>
      </w:r>
      <w:r w:rsidR="000F6FFA" w:rsidRPr="00954546">
        <w:rPr>
          <w:sz w:val="23"/>
          <w:szCs w:val="23"/>
        </w:rPr>
        <w:t>267-985-6222 (DC Line #2)</w:t>
      </w:r>
    </w:p>
    <w:p w:rsidR="00046E62" w:rsidRPr="00954546" w:rsidRDefault="00486AD1" w:rsidP="004622CD">
      <w:pPr>
        <w:spacing w:after="0"/>
        <w:jc w:val="center"/>
      </w:pPr>
      <w:proofErr w:type="spellStart"/>
      <w:r w:rsidRPr="00954546">
        <w:rPr>
          <w:b/>
        </w:rPr>
        <w:t>AdobeConnect</w:t>
      </w:r>
      <w:proofErr w:type="spellEnd"/>
      <w:r w:rsidRPr="00954546">
        <w:rPr>
          <w:b/>
        </w:rPr>
        <w:t xml:space="preserve"> room</w:t>
      </w:r>
      <w:r w:rsidRPr="00954546">
        <w:t xml:space="preserve">: </w:t>
      </w:r>
      <w:hyperlink r:id="rId8" w:history="1">
        <w:r w:rsidR="00046E62" w:rsidRPr="00954546">
          <w:rPr>
            <w:rStyle w:val="Hyperlink"/>
            <w:color w:val="auto"/>
            <w:sz w:val="24"/>
            <w:szCs w:val="24"/>
          </w:rPr>
          <w:t>https://epa.connectsolutions.com/mwg/</w:t>
        </w:r>
      </w:hyperlink>
    </w:p>
    <w:p w:rsidR="00486AD1" w:rsidRPr="00954546" w:rsidRDefault="00486AD1" w:rsidP="00CB0DC3">
      <w:pPr>
        <w:spacing w:after="0"/>
        <w:jc w:val="center"/>
      </w:pPr>
      <w:r w:rsidRPr="00954546">
        <w:rPr>
          <w:b/>
        </w:rPr>
        <w:t>CBPO On-Site Meeting Room</w:t>
      </w:r>
      <w:r w:rsidRPr="00954546">
        <w:t>: 305A</w:t>
      </w:r>
    </w:p>
    <w:p w:rsidR="00903F07" w:rsidRPr="00954546" w:rsidRDefault="00F02B29" w:rsidP="00712176">
      <w:pPr>
        <w:spacing w:after="0"/>
        <w:jc w:val="center"/>
        <w:rPr>
          <w:sz w:val="24"/>
          <w:szCs w:val="24"/>
        </w:rPr>
      </w:pPr>
      <w:r w:rsidRPr="00954546">
        <w:rPr>
          <w:b/>
        </w:rPr>
        <w:t>Calendar Entry:</w:t>
      </w:r>
      <w:r w:rsidRPr="00954546">
        <w:t xml:space="preserve"> </w:t>
      </w:r>
      <w:hyperlink r:id="rId9" w:history="1">
        <w:r w:rsidR="000F6FFA" w:rsidRPr="00954546">
          <w:rPr>
            <w:rStyle w:val="Hyperlink"/>
            <w:color w:val="auto"/>
          </w:rPr>
          <w:t>http://www.chesapeakebay.net/S=0/calendar/event/19536/</w:t>
        </w:r>
      </w:hyperlink>
      <w:r w:rsidR="000F6FFA" w:rsidRPr="00954546">
        <w:t xml:space="preserve"> </w:t>
      </w:r>
    </w:p>
    <w:p w:rsidR="007D6343" w:rsidRPr="00954546" w:rsidRDefault="007D6343" w:rsidP="00046E62">
      <w:pPr>
        <w:rPr>
          <w:b/>
          <w:bCs/>
          <w:sz w:val="28"/>
          <w:szCs w:val="28"/>
        </w:rPr>
      </w:pPr>
    </w:p>
    <w:p w:rsidR="00903F07" w:rsidRPr="00954546" w:rsidRDefault="00903F07" w:rsidP="00046E62">
      <w:pPr>
        <w:rPr>
          <w:b/>
          <w:bCs/>
          <w:sz w:val="28"/>
          <w:szCs w:val="28"/>
        </w:rPr>
      </w:pPr>
      <w:r w:rsidRPr="00954546">
        <w:rPr>
          <w:b/>
          <w:bCs/>
          <w:sz w:val="28"/>
          <w:szCs w:val="28"/>
        </w:rPr>
        <w:t xml:space="preserve">PURPOSE: </w:t>
      </w:r>
      <w:r w:rsidRPr="00954546">
        <w:rPr>
          <w:bCs/>
          <w:sz w:val="24"/>
          <w:szCs w:val="24"/>
        </w:rPr>
        <w:t xml:space="preserve">Arrive at a decision related to 2014-2015 land use projections for recommendation to the </w:t>
      </w:r>
      <w:r w:rsidR="00712176" w:rsidRPr="00954546">
        <w:rPr>
          <w:bCs/>
          <w:sz w:val="24"/>
          <w:szCs w:val="24"/>
        </w:rPr>
        <w:t>Water Quality Goal Implementation Team (</w:t>
      </w:r>
      <w:r w:rsidRPr="00954546">
        <w:rPr>
          <w:bCs/>
          <w:sz w:val="24"/>
          <w:szCs w:val="24"/>
        </w:rPr>
        <w:t>WQGIT</w:t>
      </w:r>
      <w:r w:rsidR="00712176" w:rsidRPr="00954546">
        <w:rPr>
          <w:bCs/>
          <w:sz w:val="24"/>
          <w:szCs w:val="24"/>
        </w:rPr>
        <w:t>)</w:t>
      </w:r>
      <w:r w:rsidRPr="00954546">
        <w:rPr>
          <w:bCs/>
          <w:sz w:val="24"/>
          <w:szCs w:val="24"/>
        </w:rPr>
        <w:t xml:space="preserve"> at their</w:t>
      </w:r>
      <w:r w:rsidR="00426297" w:rsidRPr="00954546">
        <w:rPr>
          <w:bCs/>
          <w:sz w:val="24"/>
          <w:szCs w:val="24"/>
        </w:rPr>
        <w:t xml:space="preserve"> next conference call (6/10</w:t>
      </w:r>
      <w:r w:rsidRPr="00954546">
        <w:rPr>
          <w:bCs/>
          <w:sz w:val="24"/>
          <w:szCs w:val="24"/>
        </w:rPr>
        <w:t>/13).</w:t>
      </w:r>
    </w:p>
    <w:p w:rsidR="004D6237" w:rsidRPr="00954546" w:rsidRDefault="00E71AEF" w:rsidP="00046E62">
      <w:r w:rsidRPr="00954546">
        <w:rPr>
          <w:b/>
          <w:bCs/>
          <w:sz w:val="28"/>
          <w:szCs w:val="28"/>
        </w:rPr>
        <w:t xml:space="preserve">DRAFT </w:t>
      </w:r>
      <w:r w:rsidR="004D6237" w:rsidRPr="00954546">
        <w:rPr>
          <w:b/>
          <w:bCs/>
          <w:sz w:val="28"/>
          <w:szCs w:val="28"/>
        </w:rPr>
        <w:t>AGENDA</w:t>
      </w:r>
      <w:r w:rsidR="00903F07" w:rsidRPr="00954546">
        <w:rPr>
          <w:b/>
          <w:bCs/>
          <w:sz w:val="28"/>
          <w:szCs w:val="28"/>
        </w:rPr>
        <w:t>:</w:t>
      </w:r>
    </w:p>
    <w:p w:rsidR="000E530C" w:rsidRPr="00954546" w:rsidRDefault="004D6237" w:rsidP="004D6237">
      <w:pPr>
        <w:spacing w:after="0" w:line="240" w:lineRule="auto"/>
        <w:rPr>
          <w:b/>
          <w:sz w:val="23"/>
          <w:szCs w:val="23"/>
        </w:rPr>
      </w:pPr>
      <w:r w:rsidRPr="00954546">
        <w:rPr>
          <w:b/>
          <w:sz w:val="23"/>
          <w:szCs w:val="23"/>
        </w:rPr>
        <w:t xml:space="preserve">Welcome/Confirm Call Participants </w:t>
      </w:r>
    </w:p>
    <w:p w:rsidR="00102782" w:rsidRPr="00954546" w:rsidRDefault="004A3B7F" w:rsidP="001825B2">
      <w:pPr>
        <w:pStyle w:val="ListParagraph"/>
        <w:spacing w:after="0" w:line="240" w:lineRule="auto"/>
        <w:ind w:left="1080"/>
        <w:rPr>
          <w:sz w:val="23"/>
          <w:szCs w:val="23"/>
        </w:rPr>
      </w:pPr>
      <w:r w:rsidRPr="00954546">
        <w:rPr>
          <w:sz w:val="23"/>
          <w:szCs w:val="23"/>
        </w:rPr>
        <w:tab/>
        <w:t>Nita Sylvester</w:t>
      </w:r>
      <w:r w:rsidR="00E949A9" w:rsidRPr="00954546">
        <w:rPr>
          <w:sz w:val="23"/>
          <w:szCs w:val="23"/>
        </w:rPr>
        <w:t>, EPA</w:t>
      </w:r>
    </w:p>
    <w:p w:rsidR="004A3B7F" w:rsidRPr="00954546" w:rsidRDefault="004A3B7F" w:rsidP="001825B2">
      <w:pPr>
        <w:pStyle w:val="ListParagraph"/>
        <w:spacing w:after="0" w:line="240" w:lineRule="auto"/>
        <w:ind w:left="1080"/>
        <w:rPr>
          <w:sz w:val="23"/>
          <w:szCs w:val="23"/>
        </w:rPr>
      </w:pPr>
      <w:r w:rsidRPr="00954546">
        <w:rPr>
          <w:sz w:val="23"/>
          <w:szCs w:val="23"/>
        </w:rPr>
        <w:tab/>
        <w:t>Matt Johnston</w:t>
      </w:r>
      <w:r w:rsidR="00E949A9" w:rsidRPr="00954546">
        <w:rPr>
          <w:sz w:val="23"/>
          <w:szCs w:val="23"/>
        </w:rPr>
        <w:t>, UMD</w:t>
      </w:r>
    </w:p>
    <w:p w:rsidR="004A3B7F" w:rsidRPr="00954546" w:rsidRDefault="004A3B7F" w:rsidP="001825B2">
      <w:pPr>
        <w:pStyle w:val="ListParagraph"/>
        <w:spacing w:after="0" w:line="240" w:lineRule="auto"/>
        <w:ind w:left="1080"/>
        <w:rPr>
          <w:sz w:val="23"/>
          <w:szCs w:val="23"/>
        </w:rPr>
      </w:pPr>
      <w:r w:rsidRPr="00954546">
        <w:rPr>
          <w:sz w:val="23"/>
          <w:szCs w:val="23"/>
        </w:rPr>
        <w:tab/>
        <w:t>Jeff Sweeney</w:t>
      </w:r>
      <w:r w:rsidR="00E949A9" w:rsidRPr="00954546">
        <w:rPr>
          <w:sz w:val="23"/>
          <w:szCs w:val="23"/>
        </w:rPr>
        <w:t>, EPA</w:t>
      </w:r>
    </w:p>
    <w:p w:rsidR="004A3B7F" w:rsidRPr="00954546" w:rsidRDefault="004A3B7F" w:rsidP="001825B2">
      <w:pPr>
        <w:pStyle w:val="ListParagraph"/>
        <w:spacing w:after="0" w:line="240" w:lineRule="auto"/>
        <w:ind w:left="1080"/>
        <w:rPr>
          <w:sz w:val="23"/>
          <w:szCs w:val="23"/>
        </w:rPr>
      </w:pPr>
      <w:r w:rsidRPr="00954546">
        <w:rPr>
          <w:sz w:val="23"/>
          <w:szCs w:val="23"/>
        </w:rPr>
        <w:tab/>
        <w:t>Emma Giese</w:t>
      </w:r>
      <w:r w:rsidR="00E949A9" w:rsidRPr="00954546">
        <w:rPr>
          <w:sz w:val="23"/>
          <w:szCs w:val="23"/>
        </w:rPr>
        <w:t>, CRC</w:t>
      </w:r>
    </w:p>
    <w:p w:rsidR="004A3B7F" w:rsidRPr="00954546" w:rsidRDefault="004A3B7F" w:rsidP="001825B2">
      <w:pPr>
        <w:pStyle w:val="ListParagraph"/>
        <w:spacing w:after="0" w:line="240" w:lineRule="auto"/>
        <w:ind w:left="1080"/>
        <w:rPr>
          <w:sz w:val="23"/>
          <w:szCs w:val="23"/>
        </w:rPr>
      </w:pPr>
      <w:r w:rsidRPr="00954546">
        <w:rPr>
          <w:sz w:val="23"/>
          <w:szCs w:val="23"/>
        </w:rPr>
        <w:tab/>
        <w:t>Aaron Ristow, NY</w:t>
      </w:r>
    </w:p>
    <w:p w:rsidR="004A3B7F" w:rsidRPr="00954546" w:rsidRDefault="004A3B7F" w:rsidP="001825B2">
      <w:pPr>
        <w:pStyle w:val="ListParagraph"/>
        <w:spacing w:after="0" w:line="240" w:lineRule="auto"/>
        <w:ind w:left="1080"/>
        <w:rPr>
          <w:sz w:val="23"/>
          <w:szCs w:val="23"/>
        </w:rPr>
      </w:pPr>
      <w:r w:rsidRPr="00954546">
        <w:rPr>
          <w:sz w:val="23"/>
          <w:szCs w:val="23"/>
        </w:rPr>
        <w:tab/>
        <w:t>Ted Tesler, PA</w:t>
      </w:r>
    </w:p>
    <w:p w:rsidR="004A3B7F" w:rsidRPr="00954546" w:rsidRDefault="004A3B7F" w:rsidP="001825B2">
      <w:pPr>
        <w:pStyle w:val="ListParagraph"/>
        <w:spacing w:after="0" w:line="240" w:lineRule="auto"/>
        <w:ind w:left="1080"/>
        <w:rPr>
          <w:sz w:val="23"/>
          <w:szCs w:val="23"/>
        </w:rPr>
      </w:pPr>
      <w:r w:rsidRPr="00954546">
        <w:rPr>
          <w:sz w:val="23"/>
          <w:szCs w:val="23"/>
        </w:rPr>
        <w:tab/>
        <w:t>Teresa Koon, WV</w:t>
      </w:r>
    </w:p>
    <w:p w:rsidR="004A3B7F" w:rsidRPr="00954546" w:rsidRDefault="004A3B7F" w:rsidP="001825B2">
      <w:pPr>
        <w:pStyle w:val="ListParagraph"/>
        <w:spacing w:after="0" w:line="240" w:lineRule="auto"/>
        <w:ind w:left="1080"/>
        <w:rPr>
          <w:sz w:val="23"/>
          <w:szCs w:val="23"/>
        </w:rPr>
      </w:pPr>
      <w:r w:rsidRPr="00954546">
        <w:rPr>
          <w:sz w:val="23"/>
          <w:szCs w:val="23"/>
        </w:rPr>
        <w:tab/>
        <w:t>Alana Hartman, WV</w:t>
      </w:r>
    </w:p>
    <w:p w:rsidR="004A3B7F" w:rsidRPr="00954546" w:rsidRDefault="004A3B7F" w:rsidP="001825B2">
      <w:pPr>
        <w:pStyle w:val="ListParagraph"/>
        <w:spacing w:after="0" w:line="240" w:lineRule="auto"/>
        <w:ind w:left="1080"/>
        <w:rPr>
          <w:sz w:val="23"/>
          <w:szCs w:val="23"/>
        </w:rPr>
      </w:pPr>
      <w:r w:rsidRPr="00954546">
        <w:rPr>
          <w:sz w:val="23"/>
          <w:szCs w:val="23"/>
        </w:rPr>
        <w:tab/>
        <w:t>Greg Sandi, MD</w:t>
      </w:r>
    </w:p>
    <w:p w:rsidR="004A3B7F" w:rsidRPr="00954546" w:rsidRDefault="004A3B7F" w:rsidP="001825B2">
      <w:pPr>
        <w:pStyle w:val="ListParagraph"/>
        <w:spacing w:after="0" w:line="240" w:lineRule="auto"/>
        <w:ind w:left="1080"/>
        <w:rPr>
          <w:sz w:val="23"/>
          <w:szCs w:val="23"/>
        </w:rPr>
      </w:pPr>
      <w:r w:rsidRPr="00954546">
        <w:rPr>
          <w:sz w:val="23"/>
          <w:szCs w:val="23"/>
        </w:rPr>
        <w:tab/>
        <w:t>Jim George, MD</w:t>
      </w:r>
    </w:p>
    <w:p w:rsidR="00E949A9" w:rsidRPr="00954546" w:rsidRDefault="00E949A9" w:rsidP="001825B2">
      <w:pPr>
        <w:pStyle w:val="ListParagraph"/>
        <w:spacing w:after="0" w:line="240" w:lineRule="auto"/>
        <w:ind w:left="1080"/>
        <w:rPr>
          <w:sz w:val="23"/>
          <w:szCs w:val="23"/>
        </w:rPr>
      </w:pPr>
      <w:r w:rsidRPr="00954546">
        <w:rPr>
          <w:sz w:val="23"/>
          <w:szCs w:val="23"/>
        </w:rPr>
        <w:tab/>
        <w:t>Paul Emmart, MD</w:t>
      </w:r>
    </w:p>
    <w:p w:rsidR="004A3B7F" w:rsidRPr="00954546" w:rsidRDefault="004A3B7F" w:rsidP="001825B2">
      <w:pPr>
        <w:pStyle w:val="ListParagraph"/>
        <w:spacing w:after="0" w:line="240" w:lineRule="auto"/>
        <w:ind w:left="1080"/>
        <w:rPr>
          <w:sz w:val="23"/>
          <w:szCs w:val="23"/>
        </w:rPr>
      </w:pPr>
      <w:r w:rsidRPr="00954546">
        <w:rPr>
          <w:sz w:val="23"/>
          <w:szCs w:val="23"/>
        </w:rPr>
        <w:tab/>
        <w:t>Helen Stewart</w:t>
      </w:r>
      <w:r w:rsidR="00E949A9" w:rsidRPr="00954546">
        <w:rPr>
          <w:sz w:val="23"/>
          <w:szCs w:val="23"/>
        </w:rPr>
        <w:t>, MD</w:t>
      </w:r>
    </w:p>
    <w:p w:rsidR="004A3B7F" w:rsidRPr="00954546" w:rsidRDefault="004A3B7F" w:rsidP="001825B2">
      <w:pPr>
        <w:pStyle w:val="ListParagraph"/>
        <w:spacing w:after="0" w:line="240" w:lineRule="auto"/>
        <w:ind w:left="1080"/>
        <w:rPr>
          <w:sz w:val="23"/>
          <w:szCs w:val="23"/>
        </w:rPr>
      </w:pPr>
      <w:r w:rsidRPr="00954546">
        <w:rPr>
          <w:sz w:val="23"/>
          <w:szCs w:val="23"/>
        </w:rPr>
        <w:tab/>
        <w:t>Brittany Sturgis DE</w:t>
      </w:r>
    </w:p>
    <w:p w:rsidR="004A3B7F" w:rsidRPr="00954546" w:rsidRDefault="004A3B7F" w:rsidP="001825B2">
      <w:pPr>
        <w:pStyle w:val="ListParagraph"/>
        <w:spacing w:after="0" w:line="240" w:lineRule="auto"/>
        <w:ind w:left="1080"/>
        <w:rPr>
          <w:sz w:val="23"/>
          <w:szCs w:val="23"/>
        </w:rPr>
      </w:pPr>
      <w:r w:rsidRPr="00954546">
        <w:rPr>
          <w:sz w:val="23"/>
          <w:szCs w:val="23"/>
        </w:rPr>
        <w:tab/>
        <w:t>Marcia Fox, DE</w:t>
      </w:r>
    </w:p>
    <w:p w:rsidR="004A3B7F" w:rsidRPr="00954546" w:rsidRDefault="004A3B7F" w:rsidP="001825B2">
      <w:pPr>
        <w:pStyle w:val="ListParagraph"/>
        <w:spacing w:after="0" w:line="240" w:lineRule="auto"/>
        <w:ind w:left="1080"/>
        <w:rPr>
          <w:sz w:val="23"/>
          <w:szCs w:val="23"/>
        </w:rPr>
      </w:pPr>
      <w:r w:rsidRPr="00954546">
        <w:rPr>
          <w:sz w:val="23"/>
          <w:szCs w:val="23"/>
        </w:rPr>
        <w:tab/>
        <w:t>Russ Baxter, VA</w:t>
      </w:r>
    </w:p>
    <w:p w:rsidR="004A3B7F" w:rsidRPr="00954546" w:rsidRDefault="004A3B7F" w:rsidP="001825B2">
      <w:pPr>
        <w:pStyle w:val="ListParagraph"/>
        <w:spacing w:after="0" w:line="240" w:lineRule="auto"/>
        <w:ind w:left="1080"/>
        <w:rPr>
          <w:sz w:val="23"/>
          <w:szCs w:val="23"/>
        </w:rPr>
      </w:pPr>
      <w:r w:rsidRPr="00954546">
        <w:rPr>
          <w:sz w:val="23"/>
          <w:szCs w:val="23"/>
        </w:rPr>
        <w:tab/>
        <w:t>James Davis-Martin, VA</w:t>
      </w:r>
    </w:p>
    <w:p w:rsidR="004A3B7F" w:rsidRPr="00954546" w:rsidRDefault="004A3B7F" w:rsidP="001825B2">
      <w:pPr>
        <w:pStyle w:val="ListParagraph"/>
        <w:spacing w:after="0" w:line="240" w:lineRule="auto"/>
        <w:ind w:left="1080"/>
        <w:rPr>
          <w:sz w:val="23"/>
          <w:szCs w:val="23"/>
        </w:rPr>
      </w:pPr>
      <w:r w:rsidRPr="00954546">
        <w:rPr>
          <w:sz w:val="23"/>
          <w:szCs w:val="23"/>
        </w:rPr>
        <w:tab/>
        <w:t>Peter Claggett</w:t>
      </w:r>
      <w:r w:rsidR="00E949A9" w:rsidRPr="00954546">
        <w:rPr>
          <w:sz w:val="23"/>
          <w:szCs w:val="23"/>
        </w:rPr>
        <w:t>, USGS</w:t>
      </w:r>
    </w:p>
    <w:p w:rsidR="004A3B7F" w:rsidRPr="00954546" w:rsidRDefault="004A3B7F" w:rsidP="001825B2">
      <w:pPr>
        <w:pStyle w:val="ListParagraph"/>
        <w:spacing w:after="0" w:line="240" w:lineRule="auto"/>
        <w:ind w:left="1080"/>
        <w:rPr>
          <w:sz w:val="23"/>
          <w:szCs w:val="23"/>
        </w:rPr>
      </w:pPr>
      <w:r w:rsidRPr="00954546">
        <w:rPr>
          <w:sz w:val="23"/>
          <w:szCs w:val="23"/>
        </w:rPr>
        <w:tab/>
        <w:t>Karl Berger</w:t>
      </w:r>
      <w:r w:rsidR="00E949A9" w:rsidRPr="00954546">
        <w:rPr>
          <w:sz w:val="23"/>
          <w:szCs w:val="23"/>
        </w:rPr>
        <w:t>, MWCOG</w:t>
      </w:r>
    </w:p>
    <w:p w:rsidR="004A3B7F" w:rsidRPr="00954546" w:rsidRDefault="004A3B7F" w:rsidP="001825B2">
      <w:pPr>
        <w:pStyle w:val="ListParagraph"/>
        <w:spacing w:after="0" w:line="240" w:lineRule="auto"/>
        <w:ind w:left="1080"/>
        <w:rPr>
          <w:sz w:val="23"/>
          <w:szCs w:val="23"/>
        </w:rPr>
      </w:pPr>
      <w:r w:rsidRPr="00954546">
        <w:rPr>
          <w:sz w:val="23"/>
          <w:szCs w:val="23"/>
        </w:rPr>
        <w:tab/>
        <w:t>Lucinda Power</w:t>
      </w:r>
      <w:r w:rsidR="00E949A9" w:rsidRPr="00954546">
        <w:rPr>
          <w:sz w:val="23"/>
          <w:szCs w:val="23"/>
        </w:rPr>
        <w:t>, EPA</w:t>
      </w:r>
    </w:p>
    <w:p w:rsidR="004A3B7F" w:rsidRPr="00954546" w:rsidRDefault="004A3B7F" w:rsidP="001825B2">
      <w:pPr>
        <w:rPr>
          <w:sz w:val="24"/>
          <w:szCs w:val="24"/>
        </w:rPr>
      </w:pPr>
      <w:r w:rsidRPr="00954546">
        <w:rPr>
          <w:b/>
          <w:sz w:val="24"/>
          <w:szCs w:val="24"/>
        </w:rPr>
        <w:tab/>
      </w:r>
      <w:r w:rsidRPr="00954546">
        <w:rPr>
          <w:b/>
          <w:sz w:val="24"/>
          <w:szCs w:val="24"/>
        </w:rPr>
        <w:tab/>
      </w:r>
      <w:r w:rsidRPr="00954546">
        <w:rPr>
          <w:sz w:val="24"/>
          <w:szCs w:val="24"/>
        </w:rPr>
        <w:t>Katherine Antos</w:t>
      </w:r>
      <w:r w:rsidR="00E949A9" w:rsidRPr="00954546">
        <w:rPr>
          <w:sz w:val="24"/>
          <w:szCs w:val="24"/>
        </w:rPr>
        <w:t>, EPA</w:t>
      </w:r>
    </w:p>
    <w:p w:rsidR="001825B2" w:rsidRPr="00954546" w:rsidRDefault="00426297" w:rsidP="0027290D">
      <w:pPr>
        <w:pStyle w:val="ListParagraph"/>
        <w:numPr>
          <w:ilvl w:val="0"/>
          <w:numId w:val="20"/>
        </w:numPr>
        <w:rPr>
          <w:b/>
          <w:sz w:val="24"/>
          <w:szCs w:val="24"/>
        </w:rPr>
      </w:pPr>
      <w:r w:rsidRPr="00954546">
        <w:rPr>
          <w:b/>
          <w:sz w:val="24"/>
          <w:szCs w:val="24"/>
        </w:rPr>
        <w:t>Synopsis of Ag Workgroup Proposal and Its Impact on Recent Decisions of the MS Workgroup</w:t>
      </w:r>
    </w:p>
    <w:p w:rsidR="004A3B7F" w:rsidRPr="00954546" w:rsidRDefault="0073276F" w:rsidP="001825B2">
      <w:pPr>
        <w:rPr>
          <w:sz w:val="24"/>
          <w:szCs w:val="24"/>
        </w:rPr>
      </w:pPr>
      <w:r w:rsidRPr="00954546">
        <w:rPr>
          <w:sz w:val="24"/>
          <w:szCs w:val="24"/>
        </w:rPr>
        <w:t xml:space="preserve">Matt Johnston gave an overview of the </w:t>
      </w:r>
      <w:proofErr w:type="spellStart"/>
      <w:r w:rsidR="0027290D" w:rsidRPr="00954546">
        <w:rPr>
          <w:sz w:val="24"/>
          <w:szCs w:val="24"/>
        </w:rPr>
        <w:t>AgWG’s</w:t>
      </w:r>
      <w:proofErr w:type="spellEnd"/>
      <w:r w:rsidR="0027290D" w:rsidRPr="00954546">
        <w:rPr>
          <w:sz w:val="24"/>
          <w:szCs w:val="24"/>
        </w:rPr>
        <w:t xml:space="preserve"> </w:t>
      </w:r>
      <w:r w:rsidR="007F2DDC" w:rsidRPr="00954546">
        <w:rPr>
          <w:sz w:val="24"/>
          <w:szCs w:val="24"/>
        </w:rPr>
        <w:t xml:space="preserve">recommendation </w:t>
      </w:r>
      <w:r w:rsidR="0027290D" w:rsidRPr="00954546">
        <w:rPr>
          <w:sz w:val="24"/>
          <w:szCs w:val="24"/>
        </w:rPr>
        <w:t>to use 2012 Ag census data as soon as it is available</w:t>
      </w:r>
      <w:r w:rsidR="007F2DDC" w:rsidRPr="00954546">
        <w:rPr>
          <w:sz w:val="24"/>
          <w:szCs w:val="24"/>
        </w:rPr>
        <w:t xml:space="preserve"> (likely spring 2014)</w:t>
      </w:r>
      <w:r w:rsidR="0027290D" w:rsidRPr="00954546">
        <w:rPr>
          <w:sz w:val="24"/>
          <w:szCs w:val="24"/>
        </w:rPr>
        <w:t>, and how that will affect projections and</w:t>
      </w:r>
      <w:r w:rsidRPr="00954546">
        <w:rPr>
          <w:sz w:val="24"/>
          <w:szCs w:val="24"/>
        </w:rPr>
        <w:t xml:space="preserve"> Milestones Issues</w:t>
      </w:r>
      <w:r w:rsidR="0027290D" w:rsidRPr="00954546">
        <w:rPr>
          <w:sz w:val="24"/>
          <w:szCs w:val="24"/>
        </w:rPr>
        <w:t xml:space="preserve">. Question before the group today is which set of projections would the Milestones workgroup like to use to </w:t>
      </w:r>
      <w:r w:rsidR="007E701B" w:rsidRPr="00954546">
        <w:rPr>
          <w:sz w:val="24"/>
          <w:szCs w:val="24"/>
        </w:rPr>
        <w:t xml:space="preserve">develop </w:t>
      </w:r>
      <w:r w:rsidR="008E1FC9" w:rsidRPr="00954546">
        <w:rPr>
          <w:sz w:val="24"/>
          <w:szCs w:val="24"/>
        </w:rPr>
        <w:t xml:space="preserve">the 2015 milestone commitments </w:t>
      </w:r>
      <w:r w:rsidR="007E701B" w:rsidRPr="00954546">
        <w:rPr>
          <w:sz w:val="24"/>
          <w:szCs w:val="24"/>
        </w:rPr>
        <w:t xml:space="preserve">and </w:t>
      </w:r>
      <w:r w:rsidR="008E1FC9" w:rsidRPr="00954546">
        <w:rPr>
          <w:sz w:val="24"/>
          <w:szCs w:val="24"/>
        </w:rPr>
        <w:t xml:space="preserve">use in the 2015 </w:t>
      </w:r>
      <w:r w:rsidR="008E1FC9" w:rsidRPr="00954546">
        <w:rPr>
          <w:sz w:val="24"/>
          <w:szCs w:val="24"/>
        </w:rPr>
        <w:lastRenderedPageBreak/>
        <w:t xml:space="preserve">progress run, which will be one part of </w:t>
      </w:r>
      <w:r w:rsidR="0027290D" w:rsidRPr="00954546">
        <w:rPr>
          <w:sz w:val="24"/>
          <w:szCs w:val="24"/>
        </w:rPr>
        <w:t>judg</w:t>
      </w:r>
      <w:r w:rsidR="008E1FC9" w:rsidRPr="00954546">
        <w:rPr>
          <w:sz w:val="24"/>
          <w:szCs w:val="24"/>
        </w:rPr>
        <w:t>ing</w:t>
      </w:r>
      <w:r w:rsidR="0027290D" w:rsidRPr="00954546">
        <w:rPr>
          <w:sz w:val="24"/>
          <w:szCs w:val="24"/>
        </w:rPr>
        <w:t xml:space="preserve"> progress towards 2015 milestones</w:t>
      </w:r>
      <w:r w:rsidR="008E1FC9" w:rsidRPr="00954546">
        <w:rPr>
          <w:sz w:val="24"/>
          <w:szCs w:val="24"/>
        </w:rPr>
        <w:t xml:space="preserve"> at the end of the milestone period</w:t>
      </w:r>
      <w:r w:rsidR="007F4FC3" w:rsidRPr="00954546">
        <w:rPr>
          <w:sz w:val="24"/>
          <w:szCs w:val="24"/>
        </w:rPr>
        <w:t>.</w:t>
      </w:r>
    </w:p>
    <w:p w:rsidR="0027290D" w:rsidRPr="00954546" w:rsidRDefault="0027290D" w:rsidP="0027290D">
      <w:pPr>
        <w:rPr>
          <w:sz w:val="24"/>
          <w:szCs w:val="24"/>
        </w:rPr>
      </w:pPr>
      <w:r w:rsidRPr="00954546">
        <w:rPr>
          <w:sz w:val="24"/>
          <w:szCs w:val="24"/>
        </w:rPr>
        <w:tab/>
        <w:t>NY: When are milestone</w:t>
      </w:r>
      <w:r w:rsidR="008E1FC9" w:rsidRPr="00954546">
        <w:rPr>
          <w:sz w:val="24"/>
          <w:szCs w:val="24"/>
        </w:rPr>
        <w:t xml:space="preserve"> commitment</w:t>
      </w:r>
      <w:r w:rsidRPr="00954546">
        <w:rPr>
          <w:sz w:val="24"/>
          <w:szCs w:val="24"/>
        </w:rPr>
        <w:t>s due?</w:t>
      </w:r>
    </w:p>
    <w:p w:rsidR="0027290D" w:rsidRPr="00954546" w:rsidRDefault="0027290D" w:rsidP="0027290D">
      <w:pPr>
        <w:rPr>
          <w:sz w:val="24"/>
          <w:szCs w:val="24"/>
        </w:rPr>
      </w:pPr>
      <w:r w:rsidRPr="00954546">
        <w:rPr>
          <w:sz w:val="24"/>
          <w:szCs w:val="24"/>
        </w:rPr>
        <w:tab/>
      </w:r>
      <w:r w:rsidRPr="00954546">
        <w:rPr>
          <w:sz w:val="24"/>
          <w:szCs w:val="24"/>
        </w:rPr>
        <w:tab/>
        <w:t>Antos: Milestones are due January 15</w:t>
      </w:r>
      <w:r w:rsidRPr="00954546">
        <w:rPr>
          <w:sz w:val="24"/>
          <w:szCs w:val="24"/>
          <w:vertAlign w:val="superscript"/>
        </w:rPr>
        <w:t xml:space="preserve">th </w:t>
      </w:r>
      <w:r w:rsidR="007F4FC3" w:rsidRPr="00954546">
        <w:rPr>
          <w:sz w:val="24"/>
          <w:szCs w:val="24"/>
        </w:rPr>
        <w:t>and j</w:t>
      </w:r>
      <w:r w:rsidR="007E701B" w:rsidRPr="00954546">
        <w:rPr>
          <w:sz w:val="24"/>
          <w:szCs w:val="24"/>
        </w:rPr>
        <w:t>uris</w:t>
      </w:r>
      <w:r w:rsidRPr="00954546">
        <w:rPr>
          <w:sz w:val="24"/>
          <w:szCs w:val="24"/>
        </w:rPr>
        <w:t xml:space="preserve">dictions have the opportunity to update after 2013 progress run is completed (could be as early as February, </w:t>
      </w:r>
      <w:r w:rsidR="00431D5F" w:rsidRPr="00954546">
        <w:rPr>
          <w:sz w:val="24"/>
          <w:szCs w:val="24"/>
        </w:rPr>
        <w:t>so the jurisdictions would have until March to update their milestone commitments</w:t>
      </w:r>
      <w:r w:rsidRPr="00954546">
        <w:rPr>
          <w:sz w:val="24"/>
          <w:szCs w:val="24"/>
        </w:rPr>
        <w:t>)</w:t>
      </w:r>
      <w:r w:rsidR="00410B24" w:rsidRPr="00954546">
        <w:rPr>
          <w:sz w:val="24"/>
          <w:szCs w:val="24"/>
        </w:rPr>
        <w:t xml:space="preserve"> </w:t>
      </w:r>
    </w:p>
    <w:p w:rsidR="0027290D" w:rsidRPr="00954546" w:rsidRDefault="0027290D" w:rsidP="0027290D">
      <w:pPr>
        <w:rPr>
          <w:sz w:val="24"/>
          <w:szCs w:val="24"/>
        </w:rPr>
      </w:pPr>
      <w:r w:rsidRPr="00954546">
        <w:rPr>
          <w:sz w:val="24"/>
          <w:szCs w:val="24"/>
        </w:rPr>
        <w:t xml:space="preserve">Nita Sylvester: The WQGIT agreed to delay the 2015 land use projection deadline from July 15th to September 3rd in order to allow new datasets to be incorporated.  </w:t>
      </w:r>
    </w:p>
    <w:p w:rsidR="0027290D" w:rsidRPr="00954546" w:rsidRDefault="0027290D" w:rsidP="001825B2">
      <w:pPr>
        <w:rPr>
          <w:sz w:val="24"/>
          <w:szCs w:val="24"/>
        </w:rPr>
      </w:pPr>
      <w:r w:rsidRPr="00954546">
        <w:rPr>
          <w:sz w:val="24"/>
          <w:szCs w:val="24"/>
        </w:rPr>
        <w:t xml:space="preserve">Jeff Sweeney: note this group’s prior interest in using the best data available.  </w:t>
      </w:r>
    </w:p>
    <w:p w:rsidR="0027290D" w:rsidRPr="00954546" w:rsidRDefault="0027290D" w:rsidP="001825B2">
      <w:pPr>
        <w:rPr>
          <w:sz w:val="24"/>
          <w:szCs w:val="24"/>
        </w:rPr>
      </w:pPr>
      <w:r w:rsidRPr="00954546">
        <w:rPr>
          <w:sz w:val="24"/>
          <w:szCs w:val="24"/>
        </w:rPr>
        <w:t>James Davis-Martin: Previous consensus of this group: judge the Milestone</w:t>
      </w:r>
      <w:r w:rsidR="00516980" w:rsidRPr="00954546">
        <w:rPr>
          <w:sz w:val="24"/>
          <w:szCs w:val="24"/>
        </w:rPr>
        <w:t xml:space="preserve"> result</w:t>
      </w:r>
      <w:r w:rsidRPr="00954546">
        <w:rPr>
          <w:sz w:val="24"/>
          <w:szCs w:val="24"/>
        </w:rPr>
        <w:t xml:space="preserve">s on the same base </w:t>
      </w:r>
      <w:r w:rsidR="00DE614E" w:rsidRPr="00954546">
        <w:rPr>
          <w:sz w:val="24"/>
          <w:szCs w:val="24"/>
        </w:rPr>
        <w:t xml:space="preserve">land use </w:t>
      </w:r>
      <w:r w:rsidRPr="00954546">
        <w:rPr>
          <w:sz w:val="24"/>
          <w:szCs w:val="24"/>
        </w:rPr>
        <w:t xml:space="preserve">conditions </w:t>
      </w:r>
      <w:r w:rsidR="00DE614E" w:rsidRPr="00954546">
        <w:rPr>
          <w:sz w:val="24"/>
          <w:szCs w:val="24"/>
        </w:rPr>
        <w:t xml:space="preserve">as </w:t>
      </w:r>
      <w:r w:rsidRPr="00954546">
        <w:rPr>
          <w:sz w:val="24"/>
          <w:szCs w:val="24"/>
        </w:rPr>
        <w:t>the</w:t>
      </w:r>
      <w:r w:rsidR="00516980" w:rsidRPr="00954546">
        <w:rPr>
          <w:sz w:val="24"/>
          <w:szCs w:val="24"/>
        </w:rPr>
        <w:t xml:space="preserve"> commitments</w:t>
      </w:r>
      <w:r w:rsidRPr="00954546">
        <w:rPr>
          <w:sz w:val="24"/>
          <w:szCs w:val="24"/>
        </w:rPr>
        <w:t xml:space="preserve"> were set.  Only (a) of the provided options allows this.</w:t>
      </w:r>
    </w:p>
    <w:p w:rsidR="00DE614E" w:rsidRPr="00954546" w:rsidRDefault="0027290D" w:rsidP="001825B2">
      <w:pPr>
        <w:rPr>
          <w:sz w:val="24"/>
          <w:szCs w:val="24"/>
        </w:rPr>
      </w:pPr>
      <w:r w:rsidRPr="00954546">
        <w:rPr>
          <w:sz w:val="24"/>
          <w:szCs w:val="24"/>
        </w:rPr>
        <w:tab/>
        <w:t>Johnston:  (b) or (c)</w:t>
      </w:r>
      <w:r w:rsidR="00DE614E" w:rsidRPr="00954546">
        <w:rPr>
          <w:sz w:val="24"/>
          <w:szCs w:val="24"/>
        </w:rPr>
        <w:t xml:space="preserve"> will allow incorporation of future data</w:t>
      </w:r>
    </w:p>
    <w:p w:rsidR="00DE614E" w:rsidRPr="00954546" w:rsidRDefault="00DE614E" w:rsidP="001825B2">
      <w:pPr>
        <w:rPr>
          <w:sz w:val="24"/>
          <w:szCs w:val="24"/>
        </w:rPr>
      </w:pPr>
      <w:r w:rsidRPr="00954546">
        <w:rPr>
          <w:sz w:val="24"/>
          <w:szCs w:val="24"/>
        </w:rPr>
        <w:tab/>
        <w:t xml:space="preserve">Davis-Martin: Agree with incorporating newer and better </w:t>
      </w:r>
      <w:proofErr w:type="gramStart"/>
      <w:r w:rsidRPr="00954546">
        <w:rPr>
          <w:sz w:val="24"/>
          <w:szCs w:val="24"/>
        </w:rPr>
        <w:t>data,</w:t>
      </w:r>
      <w:proofErr w:type="gramEnd"/>
      <w:r w:rsidRPr="00954546">
        <w:rPr>
          <w:sz w:val="24"/>
          <w:szCs w:val="24"/>
        </w:rPr>
        <w:t xml:space="preserve"> however recommend maintaining consistency between base conditions and milestone judgment</w:t>
      </w:r>
    </w:p>
    <w:p w:rsidR="00DE614E" w:rsidRPr="00954546" w:rsidRDefault="00DE614E" w:rsidP="001825B2">
      <w:pPr>
        <w:rPr>
          <w:sz w:val="24"/>
          <w:szCs w:val="24"/>
        </w:rPr>
      </w:pPr>
      <w:r w:rsidRPr="00954546">
        <w:rPr>
          <w:sz w:val="24"/>
          <w:szCs w:val="24"/>
        </w:rPr>
        <w:tab/>
        <w:t xml:space="preserve">Sweeney: Consider the </w:t>
      </w:r>
      <w:proofErr w:type="spellStart"/>
      <w:r w:rsidRPr="00954546">
        <w:rPr>
          <w:sz w:val="24"/>
          <w:szCs w:val="24"/>
        </w:rPr>
        <w:t>AgWG’s</w:t>
      </w:r>
      <w:proofErr w:type="spellEnd"/>
      <w:r w:rsidRPr="00954546">
        <w:rPr>
          <w:sz w:val="24"/>
          <w:szCs w:val="24"/>
        </w:rPr>
        <w:t xml:space="preserve"> </w:t>
      </w:r>
      <w:r w:rsidR="00516980" w:rsidRPr="00954546">
        <w:rPr>
          <w:sz w:val="24"/>
          <w:szCs w:val="24"/>
        </w:rPr>
        <w:t xml:space="preserve">recommendation </w:t>
      </w:r>
      <w:r w:rsidRPr="00954546">
        <w:rPr>
          <w:sz w:val="24"/>
          <w:szCs w:val="24"/>
        </w:rPr>
        <w:t>to incorporate up</w:t>
      </w:r>
      <w:r w:rsidR="007F4FC3" w:rsidRPr="00954546">
        <w:rPr>
          <w:sz w:val="24"/>
          <w:szCs w:val="24"/>
        </w:rPr>
        <w:t>-</w:t>
      </w:r>
      <w:r w:rsidRPr="00954546">
        <w:rPr>
          <w:sz w:val="24"/>
          <w:szCs w:val="24"/>
        </w:rPr>
        <w:t>to</w:t>
      </w:r>
      <w:r w:rsidR="007F4FC3" w:rsidRPr="00954546">
        <w:rPr>
          <w:sz w:val="24"/>
          <w:szCs w:val="24"/>
        </w:rPr>
        <w:t>-</w:t>
      </w:r>
      <w:r w:rsidRPr="00954546">
        <w:rPr>
          <w:sz w:val="24"/>
          <w:szCs w:val="24"/>
        </w:rPr>
        <w:t xml:space="preserve">date data and this group’s </w:t>
      </w:r>
      <w:r w:rsidR="00516980" w:rsidRPr="00954546">
        <w:rPr>
          <w:sz w:val="24"/>
          <w:szCs w:val="24"/>
        </w:rPr>
        <w:t xml:space="preserve">recommendation </w:t>
      </w:r>
      <w:r w:rsidRPr="00954546">
        <w:rPr>
          <w:sz w:val="24"/>
          <w:szCs w:val="24"/>
        </w:rPr>
        <w:t>for consistency</w:t>
      </w:r>
    </w:p>
    <w:p w:rsidR="00DE614E" w:rsidRPr="00954546" w:rsidRDefault="00DE614E" w:rsidP="001825B2">
      <w:pPr>
        <w:rPr>
          <w:sz w:val="24"/>
          <w:szCs w:val="24"/>
        </w:rPr>
      </w:pPr>
      <w:r w:rsidRPr="00954546">
        <w:rPr>
          <w:sz w:val="24"/>
          <w:szCs w:val="24"/>
        </w:rPr>
        <w:tab/>
        <w:t>Davis-Martin: Suggest exploring other options to maintain consistency</w:t>
      </w:r>
    </w:p>
    <w:p w:rsidR="00DE614E" w:rsidRPr="00954546" w:rsidRDefault="00DE614E" w:rsidP="001825B2">
      <w:pPr>
        <w:rPr>
          <w:sz w:val="24"/>
          <w:szCs w:val="24"/>
        </w:rPr>
      </w:pPr>
      <w:r w:rsidRPr="00954546">
        <w:rPr>
          <w:sz w:val="24"/>
          <w:szCs w:val="24"/>
        </w:rPr>
        <w:t xml:space="preserve">Antos: Another option for 2015 milestone commitments is to have these done with most up to date data available (using </w:t>
      </w:r>
      <w:r w:rsidR="00516980" w:rsidRPr="00954546">
        <w:rPr>
          <w:sz w:val="24"/>
          <w:szCs w:val="24"/>
        </w:rPr>
        <w:t xml:space="preserve">2015 </w:t>
      </w:r>
      <w:r w:rsidRPr="00954546">
        <w:rPr>
          <w:sz w:val="24"/>
          <w:szCs w:val="24"/>
        </w:rPr>
        <w:t>projections</w:t>
      </w:r>
      <w:r w:rsidR="00516980" w:rsidRPr="00954546">
        <w:rPr>
          <w:sz w:val="24"/>
          <w:szCs w:val="24"/>
        </w:rPr>
        <w:t xml:space="preserve"> available in September 2013</w:t>
      </w:r>
      <w:r w:rsidRPr="00954546">
        <w:rPr>
          <w:sz w:val="24"/>
          <w:szCs w:val="24"/>
        </w:rPr>
        <w:t xml:space="preserve">) and when </w:t>
      </w:r>
      <w:r w:rsidR="00516980" w:rsidRPr="00954546">
        <w:rPr>
          <w:sz w:val="24"/>
          <w:szCs w:val="24"/>
        </w:rPr>
        <w:t xml:space="preserve">the 2015 projections can be updated in Spring 2014 based on the new 2012 </w:t>
      </w:r>
      <w:r w:rsidRPr="00954546">
        <w:rPr>
          <w:sz w:val="24"/>
          <w:szCs w:val="24"/>
        </w:rPr>
        <w:t xml:space="preserve">Ag census </w:t>
      </w:r>
      <w:r w:rsidR="00516980" w:rsidRPr="00954546">
        <w:rPr>
          <w:sz w:val="24"/>
          <w:szCs w:val="24"/>
        </w:rPr>
        <w:t xml:space="preserve">being </w:t>
      </w:r>
      <w:r w:rsidRPr="00954546">
        <w:rPr>
          <w:sz w:val="24"/>
          <w:szCs w:val="24"/>
        </w:rPr>
        <w:t xml:space="preserve">available, jurisdictions have the option to re-run and update 2015 milestone </w:t>
      </w:r>
      <w:r w:rsidR="00516980" w:rsidRPr="00954546">
        <w:rPr>
          <w:sz w:val="24"/>
          <w:szCs w:val="24"/>
        </w:rPr>
        <w:t xml:space="preserve">commitment </w:t>
      </w:r>
      <w:r w:rsidRPr="00954546">
        <w:rPr>
          <w:sz w:val="24"/>
          <w:szCs w:val="24"/>
        </w:rPr>
        <w:t>targets accordingly.  Note that it would be a communication challenge, but that it is consistent with the adaptive management approach.</w:t>
      </w:r>
    </w:p>
    <w:p w:rsidR="00DE614E" w:rsidRPr="00954546" w:rsidRDefault="00FB4D22" w:rsidP="001825B2">
      <w:pPr>
        <w:rPr>
          <w:sz w:val="24"/>
          <w:szCs w:val="24"/>
        </w:rPr>
      </w:pPr>
      <w:r w:rsidRPr="00954546">
        <w:rPr>
          <w:sz w:val="24"/>
          <w:szCs w:val="24"/>
        </w:rPr>
        <w:t>Davis-M</w:t>
      </w:r>
      <w:r w:rsidR="00DE614E" w:rsidRPr="00954546">
        <w:rPr>
          <w:sz w:val="24"/>
          <w:szCs w:val="24"/>
        </w:rPr>
        <w:t>artin: when would milestones be due?</w:t>
      </w:r>
    </w:p>
    <w:p w:rsidR="00DE614E" w:rsidRPr="00954546" w:rsidRDefault="00DE614E" w:rsidP="001825B2">
      <w:pPr>
        <w:rPr>
          <w:sz w:val="24"/>
          <w:szCs w:val="24"/>
        </w:rPr>
      </w:pPr>
      <w:r w:rsidRPr="00954546">
        <w:rPr>
          <w:sz w:val="24"/>
          <w:szCs w:val="24"/>
        </w:rPr>
        <w:tab/>
        <w:t>Antos: Milestones due January 2014, but could be updated (30 days) after progress run</w:t>
      </w:r>
    </w:p>
    <w:p w:rsidR="00DE614E" w:rsidRPr="00954546" w:rsidRDefault="00AC230B" w:rsidP="001825B2">
      <w:pPr>
        <w:rPr>
          <w:sz w:val="24"/>
          <w:szCs w:val="24"/>
        </w:rPr>
      </w:pPr>
      <w:r w:rsidRPr="00954546">
        <w:rPr>
          <w:sz w:val="24"/>
          <w:szCs w:val="24"/>
        </w:rPr>
        <w:t>Davis-Martin: H</w:t>
      </w:r>
      <w:r w:rsidR="00DE614E" w:rsidRPr="00954546">
        <w:rPr>
          <w:sz w:val="24"/>
          <w:szCs w:val="24"/>
        </w:rPr>
        <w:t xml:space="preserve">ow much time would it take to develop projections from Ag </w:t>
      </w:r>
      <w:proofErr w:type="gramStart"/>
      <w:r w:rsidR="00DE614E" w:rsidRPr="00954546">
        <w:rPr>
          <w:sz w:val="24"/>
          <w:szCs w:val="24"/>
        </w:rPr>
        <w:t>Census</w:t>
      </w:r>
      <w:proofErr w:type="gramEnd"/>
    </w:p>
    <w:p w:rsidR="0027290D" w:rsidRPr="00954546" w:rsidRDefault="00DE614E" w:rsidP="001825B2">
      <w:pPr>
        <w:rPr>
          <w:sz w:val="24"/>
          <w:szCs w:val="24"/>
        </w:rPr>
      </w:pPr>
      <w:r w:rsidRPr="00954546">
        <w:rPr>
          <w:sz w:val="24"/>
          <w:szCs w:val="24"/>
        </w:rPr>
        <w:tab/>
      </w:r>
      <w:r w:rsidR="00AC230B" w:rsidRPr="00954546">
        <w:rPr>
          <w:sz w:val="24"/>
          <w:szCs w:val="24"/>
        </w:rPr>
        <w:t xml:space="preserve">Johnston: Depends on release of Ag Census </w:t>
      </w:r>
    </w:p>
    <w:p w:rsidR="00516980" w:rsidRPr="00954546" w:rsidRDefault="00FB4D22" w:rsidP="001825B2">
      <w:pPr>
        <w:rPr>
          <w:sz w:val="24"/>
          <w:szCs w:val="24"/>
        </w:rPr>
      </w:pPr>
      <w:r w:rsidRPr="00954546">
        <w:rPr>
          <w:sz w:val="24"/>
          <w:szCs w:val="24"/>
        </w:rPr>
        <w:lastRenderedPageBreak/>
        <w:t>Jim George: Ideal to have a fixed baseline for milestones, communication difficulties could be overcome</w:t>
      </w:r>
      <w:r w:rsidR="00516980" w:rsidRPr="00954546">
        <w:rPr>
          <w:sz w:val="24"/>
          <w:szCs w:val="24"/>
        </w:rPr>
        <w:t>.</w:t>
      </w:r>
    </w:p>
    <w:p w:rsidR="00516980" w:rsidRPr="00954546" w:rsidRDefault="00516980" w:rsidP="001825B2">
      <w:pPr>
        <w:rPr>
          <w:sz w:val="24"/>
          <w:szCs w:val="24"/>
        </w:rPr>
      </w:pPr>
      <w:r w:rsidRPr="00954546">
        <w:rPr>
          <w:sz w:val="24"/>
          <w:szCs w:val="24"/>
        </w:rPr>
        <w:t>Davis-Martin: Agreed. If possible, would be helpful to update the 2015 milestone commitment targets just once, based on the 2013 progress run and the updated 2015 projections incorporating the Ag census data.</w:t>
      </w:r>
    </w:p>
    <w:p w:rsidR="00FB4D22" w:rsidRPr="00954546" w:rsidRDefault="00FB4D22" w:rsidP="001825B2">
      <w:pPr>
        <w:rPr>
          <w:sz w:val="24"/>
          <w:szCs w:val="24"/>
        </w:rPr>
      </w:pPr>
      <w:r w:rsidRPr="00954546">
        <w:rPr>
          <w:sz w:val="24"/>
          <w:szCs w:val="24"/>
        </w:rPr>
        <w:tab/>
        <w:t>Peter Claggett: Note that even the 2010 data is a projection, new data availability doesn’t happen very often (The data available next spring will be much more up to date)</w:t>
      </w:r>
    </w:p>
    <w:p w:rsidR="00FB4D22" w:rsidRPr="00954546" w:rsidRDefault="00FB4D22" w:rsidP="001825B2">
      <w:pPr>
        <w:rPr>
          <w:sz w:val="24"/>
          <w:szCs w:val="24"/>
        </w:rPr>
      </w:pPr>
      <w:r w:rsidRPr="00954546">
        <w:rPr>
          <w:sz w:val="24"/>
          <w:szCs w:val="24"/>
        </w:rPr>
        <w:t>Davis-Martin: Would previous progress runs be re-run?</w:t>
      </w:r>
    </w:p>
    <w:p w:rsidR="00FB4D22" w:rsidRPr="00954546" w:rsidRDefault="00FB4D22" w:rsidP="001825B2">
      <w:pPr>
        <w:rPr>
          <w:sz w:val="24"/>
          <w:szCs w:val="24"/>
        </w:rPr>
      </w:pPr>
      <w:r w:rsidRPr="00954546">
        <w:rPr>
          <w:sz w:val="24"/>
          <w:szCs w:val="24"/>
        </w:rPr>
        <w:tab/>
        <w:t xml:space="preserve">Sylvester: </w:t>
      </w:r>
      <w:r w:rsidR="007E701B" w:rsidRPr="00954546">
        <w:rPr>
          <w:sz w:val="24"/>
          <w:szCs w:val="24"/>
        </w:rPr>
        <w:t xml:space="preserve">We won’t be running any previously signed-off Progress assessments on the current Phase 5.3.2 WSM – other than for informational/research purposes if requested.  All progress runs </w:t>
      </w:r>
      <w:r w:rsidR="00516980" w:rsidRPr="00954546">
        <w:rPr>
          <w:sz w:val="24"/>
          <w:szCs w:val="24"/>
        </w:rPr>
        <w:t xml:space="preserve">will be rerun </w:t>
      </w:r>
      <w:r w:rsidR="007E701B" w:rsidRPr="00954546">
        <w:rPr>
          <w:sz w:val="24"/>
          <w:szCs w:val="24"/>
        </w:rPr>
        <w:t xml:space="preserve">(using up-to-date background condition data) with the </w:t>
      </w:r>
      <w:r w:rsidR="00516980" w:rsidRPr="00954546">
        <w:rPr>
          <w:sz w:val="24"/>
          <w:szCs w:val="24"/>
        </w:rPr>
        <w:t xml:space="preserve">updated </w:t>
      </w:r>
      <w:r w:rsidR="00410B24" w:rsidRPr="00954546">
        <w:rPr>
          <w:sz w:val="24"/>
          <w:szCs w:val="24"/>
        </w:rPr>
        <w:t xml:space="preserve">version of the WSM </w:t>
      </w:r>
      <w:r w:rsidR="00516980" w:rsidRPr="00954546">
        <w:rPr>
          <w:sz w:val="24"/>
          <w:szCs w:val="24"/>
        </w:rPr>
        <w:t xml:space="preserve">(Phase 6) that is being developed </w:t>
      </w:r>
      <w:r w:rsidR="00410B24" w:rsidRPr="00954546">
        <w:rPr>
          <w:sz w:val="24"/>
          <w:szCs w:val="24"/>
        </w:rPr>
        <w:t xml:space="preserve">for the 2017 </w:t>
      </w:r>
      <w:r w:rsidR="00516980" w:rsidRPr="00954546">
        <w:rPr>
          <w:sz w:val="24"/>
          <w:szCs w:val="24"/>
        </w:rPr>
        <w:t xml:space="preserve">midpoint </w:t>
      </w:r>
      <w:r w:rsidR="00410B24" w:rsidRPr="00954546">
        <w:rPr>
          <w:sz w:val="24"/>
          <w:szCs w:val="24"/>
        </w:rPr>
        <w:t>assessment</w:t>
      </w:r>
      <w:r w:rsidR="00516980" w:rsidRPr="00954546">
        <w:rPr>
          <w:sz w:val="24"/>
          <w:szCs w:val="24"/>
        </w:rPr>
        <w:t>.</w:t>
      </w:r>
    </w:p>
    <w:p w:rsidR="00FB4D22" w:rsidRPr="00954546" w:rsidRDefault="00FB4D22" w:rsidP="001825B2">
      <w:pPr>
        <w:rPr>
          <w:sz w:val="24"/>
          <w:szCs w:val="24"/>
        </w:rPr>
      </w:pPr>
      <w:r w:rsidRPr="00954546">
        <w:rPr>
          <w:sz w:val="24"/>
          <w:szCs w:val="24"/>
        </w:rPr>
        <w:tab/>
        <w:t>Antos: Initial Milestones</w:t>
      </w:r>
      <w:r w:rsidR="002A67C5" w:rsidRPr="00954546">
        <w:rPr>
          <w:sz w:val="24"/>
          <w:szCs w:val="24"/>
        </w:rPr>
        <w:t xml:space="preserve"> are still due January (using S</w:t>
      </w:r>
      <w:r w:rsidRPr="00954546">
        <w:rPr>
          <w:sz w:val="24"/>
          <w:szCs w:val="24"/>
        </w:rPr>
        <w:t>e</w:t>
      </w:r>
      <w:r w:rsidR="002A67C5" w:rsidRPr="00954546">
        <w:rPr>
          <w:sz w:val="24"/>
          <w:szCs w:val="24"/>
        </w:rPr>
        <w:t>p</w:t>
      </w:r>
      <w:r w:rsidRPr="00954546">
        <w:rPr>
          <w:sz w:val="24"/>
          <w:szCs w:val="24"/>
        </w:rPr>
        <w:t>tember projections)</w:t>
      </w:r>
      <w:r w:rsidR="00FC1A3D">
        <w:rPr>
          <w:sz w:val="24"/>
          <w:szCs w:val="24"/>
        </w:rPr>
        <w:t>. W</w:t>
      </w:r>
      <w:r w:rsidRPr="00954546">
        <w:rPr>
          <w:sz w:val="24"/>
          <w:szCs w:val="24"/>
        </w:rPr>
        <w:t xml:space="preserve">hen information is updated </w:t>
      </w:r>
      <w:r w:rsidR="00516980" w:rsidRPr="00954546">
        <w:rPr>
          <w:sz w:val="24"/>
          <w:szCs w:val="24"/>
        </w:rPr>
        <w:t xml:space="preserve">(availability of 2013 progress run, 2015 projections), </w:t>
      </w:r>
      <w:r w:rsidRPr="00954546">
        <w:rPr>
          <w:sz w:val="24"/>
          <w:szCs w:val="24"/>
        </w:rPr>
        <w:t>milestone commitments can be updated.</w:t>
      </w:r>
    </w:p>
    <w:p w:rsidR="00FB4D22" w:rsidRPr="00954546" w:rsidRDefault="00FB4D22" w:rsidP="001825B2">
      <w:pPr>
        <w:rPr>
          <w:sz w:val="24"/>
          <w:szCs w:val="24"/>
        </w:rPr>
      </w:pPr>
      <w:r w:rsidRPr="00954546">
        <w:rPr>
          <w:sz w:val="24"/>
          <w:szCs w:val="24"/>
        </w:rPr>
        <w:tab/>
        <w:t xml:space="preserve">Davis-Martin: Other tools </w:t>
      </w:r>
      <w:r w:rsidR="004517F1" w:rsidRPr="00954546">
        <w:rPr>
          <w:sz w:val="24"/>
          <w:szCs w:val="24"/>
        </w:rPr>
        <w:t xml:space="preserve">(factsheets) </w:t>
      </w:r>
      <w:r w:rsidRPr="00954546">
        <w:rPr>
          <w:sz w:val="24"/>
          <w:szCs w:val="24"/>
        </w:rPr>
        <w:t>are developed based on Milestones (these would have to be updated as well)</w:t>
      </w:r>
    </w:p>
    <w:p w:rsidR="00FB4D22" w:rsidRPr="00954546" w:rsidRDefault="00FB4D22" w:rsidP="001825B2">
      <w:pPr>
        <w:rPr>
          <w:sz w:val="24"/>
          <w:szCs w:val="24"/>
        </w:rPr>
      </w:pPr>
      <w:r w:rsidRPr="00954546">
        <w:rPr>
          <w:sz w:val="24"/>
          <w:szCs w:val="24"/>
        </w:rPr>
        <w:tab/>
      </w:r>
      <w:r w:rsidRPr="00954546">
        <w:rPr>
          <w:sz w:val="24"/>
          <w:szCs w:val="24"/>
        </w:rPr>
        <w:tab/>
        <w:t xml:space="preserve">Sylvester: </w:t>
      </w:r>
      <w:r w:rsidR="004517F1" w:rsidRPr="00954546">
        <w:rPr>
          <w:sz w:val="24"/>
          <w:szCs w:val="24"/>
        </w:rPr>
        <w:t xml:space="preserve">Factsheets </w:t>
      </w:r>
      <w:r w:rsidR="002A67C5" w:rsidRPr="00954546">
        <w:rPr>
          <w:sz w:val="24"/>
          <w:szCs w:val="24"/>
        </w:rPr>
        <w:t xml:space="preserve">developed in the past not necessarily expected for these upcoming Milestones (can be discussed by this group on a future call). </w:t>
      </w:r>
    </w:p>
    <w:p w:rsidR="002A67C5" w:rsidRPr="00954546" w:rsidRDefault="002A67C5" w:rsidP="001825B2">
      <w:pPr>
        <w:rPr>
          <w:sz w:val="24"/>
          <w:szCs w:val="24"/>
        </w:rPr>
      </w:pPr>
      <w:r w:rsidRPr="00954546">
        <w:rPr>
          <w:sz w:val="24"/>
          <w:szCs w:val="24"/>
        </w:rPr>
        <w:tab/>
      </w:r>
      <w:r w:rsidRPr="00954546">
        <w:rPr>
          <w:sz w:val="24"/>
          <w:szCs w:val="24"/>
        </w:rPr>
        <w:tab/>
        <w:t>Antos: The agendas for Exec Council are set by partnership (would continue to have partnership input)</w:t>
      </w:r>
    </w:p>
    <w:p w:rsidR="002A67C5" w:rsidRPr="00954546" w:rsidRDefault="002A67C5" w:rsidP="001825B2">
      <w:pPr>
        <w:rPr>
          <w:sz w:val="24"/>
          <w:szCs w:val="24"/>
        </w:rPr>
      </w:pPr>
      <w:r w:rsidRPr="00954546">
        <w:rPr>
          <w:sz w:val="24"/>
          <w:szCs w:val="24"/>
        </w:rPr>
        <w:t xml:space="preserve">Johnston: Option (a) would be the decision made by this group previously, based on Katherine’s suggestion an analysis could be presented to Milestone WG in Spring 2014 to </w:t>
      </w:r>
      <w:r w:rsidR="00516980" w:rsidRPr="00954546">
        <w:rPr>
          <w:sz w:val="24"/>
          <w:szCs w:val="24"/>
        </w:rPr>
        <w:t>help jurisdictions to determine if they want their milestone commitment targets to be updated.</w:t>
      </w:r>
    </w:p>
    <w:p w:rsidR="002A67C5" w:rsidRPr="00954546" w:rsidRDefault="002A67C5" w:rsidP="001825B2">
      <w:pPr>
        <w:rPr>
          <w:sz w:val="24"/>
          <w:szCs w:val="24"/>
        </w:rPr>
      </w:pPr>
      <w:r w:rsidRPr="00954546">
        <w:rPr>
          <w:sz w:val="24"/>
          <w:szCs w:val="24"/>
        </w:rPr>
        <w:tab/>
        <w:t>Ted Tesler (PA):  Interested in isolating management decisions, however in terms of developing future milestones use most up to date information available.</w:t>
      </w:r>
    </w:p>
    <w:p w:rsidR="0027290D" w:rsidRPr="00954546" w:rsidRDefault="002A67C5" w:rsidP="001825B2">
      <w:pPr>
        <w:rPr>
          <w:sz w:val="24"/>
          <w:szCs w:val="24"/>
        </w:rPr>
      </w:pPr>
      <w:r w:rsidRPr="00954546">
        <w:rPr>
          <w:sz w:val="24"/>
          <w:szCs w:val="24"/>
        </w:rPr>
        <w:tab/>
        <w:t>Teresa Koon (WV): concur with PA, option (a)</w:t>
      </w:r>
    </w:p>
    <w:p w:rsidR="002A67C5" w:rsidRPr="00954546" w:rsidRDefault="002A67C5" w:rsidP="001825B2">
      <w:pPr>
        <w:rPr>
          <w:sz w:val="24"/>
          <w:szCs w:val="24"/>
        </w:rPr>
      </w:pPr>
      <w:r w:rsidRPr="00954546">
        <w:rPr>
          <w:sz w:val="24"/>
          <w:szCs w:val="24"/>
        </w:rPr>
        <w:tab/>
        <w:t>Marcia Fox (DE): Support Katherine’s suggestion to continue as planned, and then re-evaluate once more data is available</w:t>
      </w:r>
    </w:p>
    <w:p w:rsidR="002A67C5" w:rsidRPr="00954546" w:rsidRDefault="002A67C5" w:rsidP="001825B2">
      <w:pPr>
        <w:rPr>
          <w:sz w:val="24"/>
          <w:szCs w:val="24"/>
        </w:rPr>
      </w:pPr>
      <w:r w:rsidRPr="00954546">
        <w:rPr>
          <w:sz w:val="24"/>
          <w:szCs w:val="24"/>
        </w:rPr>
        <w:tab/>
        <w:t>Aaron Ristow (NY): Concur</w:t>
      </w:r>
    </w:p>
    <w:p w:rsidR="002A67C5" w:rsidRDefault="002A67C5" w:rsidP="001825B2">
      <w:pPr>
        <w:rPr>
          <w:sz w:val="24"/>
          <w:szCs w:val="24"/>
        </w:rPr>
      </w:pPr>
      <w:r w:rsidRPr="00954546">
        <w:rPr>
          <w:sz w:val="24"/>
          <w:szCs w:val="24"/>
        </w:rPr>
        <w:lastRenderedPageBreak/>
        <w:tab/>
        <w:t>Claggett: Clarified that NLCD data likely available next April or May, population projections will be mostly collected by September 2013 (incorporating census in the spring)</w:t>
      </w:r>
    </w:p>
    <w:p w:rsidR="00E1091A" w:rsidRPr="00E1091A" w:rsidRDefault="00E1091A" w:rsidP="001825B2">
      <w:pPr>
        <w:rPr>
          <w:sz w:val="24"/>
          <w:szCs w:val="24"/>
          <w:highlight w:val="yellow"/>
        </w:rPr>
      </w:pPr>
      <w:r w:rsidRPr="00E1091A">
        <w:rPr>
          <w:sz w:val="24"/>
          <w:szCs w:val="24"/>
          <w:highlight w:val="yellow"/>
        </w:rPr>
        <w:t xml:space="preserve">[After the </w:t>
      </w:r>
      <w:proofErr w:type="spellStart"/>
      <w:r w:rsidRPr="00E1091A">
        <w:rPr>
          <w:sz w:val="24"/>
          <w:szCs w:val="24"/>
          <w:highlight w:val="yellow"/>
        </w:rPr>
        <w:t>mtg</w:t>
      </w:r>
      <w:proofErr w:type="spellEnd"/>
      <w:r w:rsidRPr="00E1091A">
        <w:rPr>
          <w:sz w:val="24"/>
          <w:szCs w:val="24"/>
          <w:highlight w:val="yellow"/>
        </w:rPr>
        <w:t xml:space="preserve"> Peter </w:t>
      </w:r>
      <w:r>
        <w:rPr>
          <w:sz w:val="24"/>
          <w:szCs w:val="24"/>
          <w:highlight w:val="yellow"/>
        </w:rPr>
        <w:t xml:space="preserve">Claggett </w:t>
      </w:r>
      <w:r w:rsidRPr="00E1091A">
        <w:rPr>
          <w:sz w:val="24"/>
          <w:szCs w:val="24"/>
          <w:highlight w:val="yellow"/>
        </w:rPr>
        <w:t>provided additional clarification:</w:t>
      </w:r>
    </w:p>
    <w:p w:rsidR="00E1091A" w:rsidRPr="00E1091A" w:rsidRDefault="00E1091A" w:rsidP="00E1091A">
      <w:pPr>
        <w:rPr>
          <w:sz w:val="24"/>
          <w:szCs w:val="24"/>
          <w:highlight w:val="yellow"/>
        </w:rPr>
      </w:pPr>
      <w:r w:rsidRPr="00E1091A">
        <w:rPr>
          <w:sz w:val="24"/>
          <w:szCs w:val="24"/>
          <w:highlight w:val="yellow"/>
        </w:rPr>
        <w:t>New data available for the Sept. 2013 land use update include Census population estimates (2011 and 2012) and population projections for VA, MD, DE, and northern Virginia (Wash COG region) based</w:t>
      </w:r>
      <w:r w:rsidRPr="00E1091A">
        <w:rPr>
          <w:sz w:val="24"/>
          <w:szCs w:val="24"/>
          <w:highlight w:val="yellow"/>
        </w:rPr>
        <w:t xml:space="preserve"> on the 2010 Census findings.  </w:t>
      </w:r>
    </w:p>
    <w:p w:rsidR="00E1091A" w:rsidRPr="00954546" w:rsidRDefault="00E1091A" w:rsidP="00E1091A">
      <w:pPr>
        <w:rPr>
          <w:sz w:val="24"/>
          <w:szCs w:val="24"/>
        </w:rPr>
      </w:pPr>
      <w:r w:rsidRPr="00E1091A">
        <w:rPr>
          <w:sz w:val="24"/>
          <w:szCs w:val="24"/>
          <w:highlight w:val="yellow"/>
        </w:rPr>
        <w:t>New data expected to be available for an April 2014 land use update include the 2012 Census of Agriculture, 2011 National Land Cover Dataset, new population projections for PA, Census population estimates (2013), and a variety of County land use datasets.</w:t>
      </w:r>
      <w:r w:rsidRPr="00E1091A">
        <w:rPr>
          <w:sz w:val="24"/>
          <w:szCs w:val="24"/>
          <w:highlight w:val="yellow"/>
        </w:rPr>
        <w:t>]</w:t>
      </w:r>
    </w:p>
    <w:p w:rsidR="001F4F80" w:rsidRPr="00954546" w:rsidRDefault="001F4F80" w:rsidP="001825B2">
      <w:pPr>
        <w:rPr>
          <w:sz w:val="24"/>
          <w:szCs w:val="24"/>
        </w:rPr>
      </w:pPr>
      <w:r w:rsidRPr="00954546">
        <w:rPr>
          <w:sz w:val="24"/>
          <w:szCs w:val="24"/>
        </w:rPr>
        <w:t xml:space="preserve">Davis Martin:  If some states choose to change their milestones, other states do not, how will </w:t>
      </w:r>
      <w:proofErr w:type="gramStart"/>
      <w:r w:rsidRPr="00954546">
        <w:rPr>
          <w:sz w:val="24"/>
          <w:szCs w:val="24"/>
        </w:rPr>
        <w:t>the</w:t>
      </w:r>
      <w:proofErr w:type="gramEnd"/>
      <w:r w:rsidRPr="00954546">
        <w:rPr>
          <w:sz w:val="24"/>
          <w:szCs w:val="24"/>
        </w:rPr>
        <w:t xml:space="preserve"> milestones be evaluated?</w:t>
      </w:r>
    </w:p>
    <w:p w:rsidR="001F4F80" w:rsidRPr="00954546" w:rsidRDefault="001F4F80" w:rsidP="001825B2">
      <w:pPr>
        <w:rPr>
          <w:sz w:val="24"/>
          <w:szCs w:val="24"/>
        </w:rPr>
      </w:pPr>
      <w:r w:rsidRPr="00954546">
        <w:rPr>
          <w:sz w:val="24"/>
          <w:szCs w:val="24"/>
        </w:rPr>
        <w:tab/>
        <w:t xml:space="preserve">Sylvester: EPA’s evaluation of </w:t>
      </w:r>
      <w:r w:rsidR="009F6F9E" w:rsidRPr="00954546">
        <w:rPr>
          <w:sz w:val="24"/>
          <w:szCs w:val="24"/>
        </w:rPr>
        <w:t xml:space="preserve">whether jurisdictions met their </w:t>
      </w:r>
      <w:r w:rsidRPr="00954546">
        <w:rPr>
          <w:sz w:val="24"/>
          <w:szCs w:val="24"/>
        </w:rPr>
        <w:t>2015 milestone</w:t>
      </w:r>
      <w:r w:rsidR="009F6F9E" w:rsidRPr="00954546">
        <w:rPr>
          <w:sz w:val="24"/>
          <w:szCs w:val="24"/>
        </w:rPr>
        <w:t xml:space="preserve"> commitment</w:t>
      </w:r>
      <w:r w:rsidRPr="00954546">
        <w:rPr>
          <w:sz w:val="24"/>
          <w:szCs w:val="24"/>
        </w:rPr>
        <w:t xml:space="preserve">s would occur in 2016, </w:t>
      </w:r>
      <w:r w:rsidR="009F6F9E" w:rsidRPr="00954546">
        <w:rPr>
          <w:sz w:val="24"/>
          <w:szCs w:val="24"/>
        </w:rPr>
        <w:t xml:space="preserve">and </w:t>
      </w:r>
      <w:r w:rsidRPr="00954546">
        <w:rPr>
          <w:sz w:val="24"/>
          <w:szCs w:val="24"/>
        </w:rPr>
        <w:t>would take into account</w:t>
      </w:r>
      <w:r w:rsidR="009F6F9E" w:rsidRPr="00954546">
        <w:rPr>
          <w:sz w:val="24"/>
          <w:szCs w:val="24"/>
        </w:rPr>
        <w:t>:</w:t>
      </w:r>
      <w:r w:rsidRPr="00954546">
        <w:rPr>
          <w:sz w:val="24"/>
          <w:szCs w:val="24"/>
        </w:rPr>
        <w:t xml:space="preserve"> </w:t>
      </w:r>
      <w:r w:rsidR="009F6F9E" w:rsidRPr="00954546">
        <w:rPr>
          <w:sz w:val="24"/>
          <w:szCs w:val="24"/>
        </w:rPr>
        <w:t xml:space="preserve">1) </w:t>
      </w:r>
      <w:r w:rsidRPr="00954546">
        <w:rPr>
          <w:sz w:val="24"/>
          <w:szCs w:val="24"/>
        </w:rPr>
        <w:t>2015 progress run (</w:t>
      </w:r>
      <w:r w:rsidR="009F6F9E" w:rsidRPr="00954546">
        <w:rPr>
          <w:sz w:val="24"/>
          <w:szCs w:val="24"/>
        </w:rPr>
        <w:t xml:space="preserve">possibly </w:t>
      </w:r>
      <w:r w:rsidRPr="00954546">
        <w:rPr>
          <w:sz w:val="24"/>
          <w:szCs w:val="24"/>
        </w:rPr>
        <w:t>incorporating new land use projections</w:t>
      </w:r>
      <w:r w:rsidR="009F6F9E" w:rsidRPr="00954546">
        <w:rPr>
          <w:sz w:val="24"/>
          <w:szCs w:val="24"/>
        </w:rPr>
        <w:t>, based on decision of WQGIT</w:t>
      </w:r>
      <w:r w:rsidRPr="00954546">
        <w:rPr>
          <w:sz w:val="24"/>
          <w:szCs w:val="24"/>
        </w:rPr>
        <w:t>),</w:t>
      </w:r>
      <w:r w:rsidR="009F6F9E" w:rsidRPr="00954546">
        <w:rPr>
          <w:sz w:val="24"/>
          <w:szCs w:val="24"/>
        </w:rPr>
        <w:t xml:space="preserve"> and 2)</w:t>
      </w:r>
      <w:r w:rsidRPr="00954546">
        <w:rPr>
          <w:sz w:val="24"/>
          <w:szCs w:val="24"/>
        </w:rPr>
        <w:t xml:space="preserve"> programmatic milestones.  Jurisdiction’s internal evaluations could</w:t>
      </w:r>
      <w:r w:rsidR="00A627D1" w:rsidRPr="00954546">
        <w:rPr>
          <w:sz w:val="24"/>
          <w:szCs w:val="24"/>
        </w:rPr>
        <w:t xml:space="preserve"> take into account other information</w:t>
      </w:r>
      <w:r w:rsidRPr="00954546">
        <w:rPr>
          <w:sz w:val="24"/>
          <w:szCs w:val="24"/>
        </w:rPr>
        <w:t>.  EPA’s oversight role with th</w:t>
      </w:r>
      <w:r w:rsidR="00D97499">
        <w:rPr>
          <w:sz w:val="24"/>
          <w:szCs w:val="24"/>
        </w:rPr>
        <w:t xml:space="preserve">e TMDL is independent of what may be presented </w:t>
      </w:r>
      <w:proofErr w:type="gramStart"/>
      <w:r w:rsidR="00D97499">
        <w:rPr>
          <w:sz w:val="24"/>
          <w:szCs w:val="24"/>
        </w:rPr>
        <w:t xml:space="preserve">at </w:t>
      </w:r>
      <w:r w:rsidRPr="00954546">
        <w:rPr>
          <w:sz w:val="24"/>
          <w:szCs w:val="24"/>
        </w:rPr>
        <w:t xml:space="preserve"> EC</w:t>
      </w:r>
      <w:proofErr w:type="gramEnd"/>
      <w:r w:rsidR="00D97499">
        <w:rPr>
          <w:sz w:val="24"/>
          <w:szCs w:val="24"/>
        </w:rPr>
        <w:t xml:space="preserve"> </w:t>
      </w:r>
      <w:proofErr w:type="spellStart"/>
      <w:r w:rsidR="00D97499">
        <w:rPr>
          <w:sz w:val="24"/>
          <w:szCs w:val="24"/>
        </w:rPr>
        <w:t>mtgs</w:t>
      </w:r>
      <w:proofErr w:type="spellEnd"/>
      <w:r w:rsidRPr="00954546">
        <w:rPr>
          <w:sz w:val="24"/>
          <w:szCs w:val="24"/>
        </w:rPr>
        <w:t xml:space="preserve"> and</w:t>
      </w:r>
      <w:r w:rsidR="00D97499">
        <w:rPr>
          <w:sz w:val="24"/>
          <w:szCs w:val="24"/>
        </w:rPr>
        <w:t>/or</w:t>
      </w:r>
      <w:r w:rsidRPr="00954546">
        <w:rPr>
          <w:sz w:val="24"/>
          <w:szCs w:val="24"/>
        </w:rPr>
        <w:t xml:space="preserve"> other partnership activities</w:t>
      </w:r>
      <w:r w:rsidR="00A627D1" w:rsidRPr="00954546">
        <w:rPr>
          <w:sz w:val="24"/>
          <w:szCs w:val="24"/>
        </w:rPr>
        <w:t>.</w:t>
      </w:r>
    </w:p>
    <w:p w:rsidR="001F4F80" w:rsidRPr="00954546" w:rsidRDefault="008D38E8" w:rsidP="001825B2">
      <w:pPr>
        <w:rPr>
          <w:sz w:val="24"/>
          <w:szCs w:val="24"/>
        </w:rPr>
      </w:pPr>
      <w:r w:rsidRPr="00954546">
        <w:rPr>
          <w:sz w:val="24"/>
          <w:szCs w:val="24"/>
        </w:rPr>
        <w:tab/>
        <w:t>Davis-Martin and Jim George: Milestones vs. progress questions</w:t>
      </w:r>
    </w:p>
    <w:p w:rsidR="008D38E8" w:rsidRPr="00954546" w:rsidRDefault="008D38E8" w:rsidP="001825B2">
      <w:pPr>
        <w:rPr>
          <w:sz w:val="24"/>
          <w:szCs w:val="24"/>
        </w:rPr>
      </w:pPr>
      <w:r w:rsidRPr="00954546">
        <w:rPr>
          <w:sz w:val="24"/>
          <w:szCs w:val="24"/>
        </w:rPr>
        <w:tab/>
        <w:t>Sylvester: Milestones are not on the agenda for the 2013 EC meeting (partnership decision)</w:t>
      </w:r>
      <w:r w:rsidR="00A627D1" w:rsidRPr="00954546">
        <w:rPr>
          <w:sz w:val="24"/>
          <w:szCs w:val="24"/>
        </w:rPr>
        <w:t>, but</w:t>
      </w:r>
      <w:r w:rsidRPr="00954546">
        <w:rPr>
          <w:sz w:val="24"/>
          <w:szCs w:val="24"/>
        </w:rPr>
        <w:t xml:space="preserve"> may be on the agenda for 2014 </w:t>
      </w:r>
    </w:p>
    <w:p w:rsidR="008D38E8" w:rsidRPr="00954546" w:rsidRDefault="009D24C5" w:rsidP="001825B2">
      <w:pPr>
        <w:rPr>
          <w:sz w:val="24"/>
          <w:szCs w:val="24"/>
        </w:rPr>
      </w:pPr>
      <w:r w:rsidRPr="00954546">
        <w:rPr>
          <w:sz w:val="24"/>
          <w:szCs w:val="24"/>
        </w:rPr>
        <w:tab/>
      </w:r>
      <w:r w:rsidR="000C6046" w:rsidRPr="00954546">
        <w:rPr>
          <w:sz w:val="24"/>
          <w:szCs w:val="24"/>
        </w:rPr>
        <w:t>George:</w:t>
      </w:r>
      <w:r w:rsidR="008D38E8" w:rsidRPr="00954546">
        <w:rPr>
          <w:sz w:val="24"/>
          <w:szCs w:val="24"/>
        </w:rPr>
        <w:t xml:space="preserve"> EPA assessment memos that use terminology ‘milestone’ shouldn’t be equivalent to progress</w:t>
      </w:r>
    </w:p>
    <w:p w:rsidR="009D24C5" w:rsidRPr="00954546" w:rsidRDefault="009D24C5" w:rsidP="001825B2">
      <w:pPr>
        <w:rPr>
          <w:sz w:val="24"/>
          <w:szCs w:val="24"/>
        </w:rPr>
      </w:pPr>
      <w:r w:rsidRPr="00954546">
        <w:rPr>
          <w:sz w:val="24"/>
          <w:szCs w:val="24"/>
        </w:rPr>
        <w:tab/>
      </w:r>
      <w:r w:rsidR="000C6046" w:rsidRPr="00954546">
        <w:rPr>
          <w:sz w:val="24"/>
          <w:szCs w:val="24"/>
        </w:rPr>
        <w:t xml:space="preserve">Antos: EPA uses progress runs to determine </w:t>
      </w:r>
      <w:r w:rsidR="00A627D1" w:rsidRPr="00954546">
        <w:rPr>
          <w:sz w:val="24"/>
          <w:szCs w:val="24"/>
        </w:rPr>
        <w:t xml:space="preserve">if jurisdictions have met their </w:t>
      </w:r>
      <w:r w:rsidR="000C6046" w:rsidRPr="00954546">
        <w:rPr>
          <w:sz w:val="24"/>
          <w:szCs w:val="24"/>
        </w:rPr>
        <w:t xml:space="preserve">partnership </w:t>
      </w:r>
      <w:r w:rsidR="00A627D1" w:rsidRPr="00954546">
        <w:rPr>
          <w:sz w:val="24"/>
          <w:szCs w:val="24"/>
        </w:rPr>
        <w:t xml:space="preserve">(milestone) </w:t>
      </w:r>
      <w:r w:rsidR="000C6046" w:rsidRPr="00954546">
        <w:rPr>
          <w:sz w:val="24"/>
          <w:szCs w:val="24"/>
        </w:rPr>
        <w:t>load reduction com</w:t>
      </w:r>
      <w:r w:rsidRPr="00954546">
        <w:rPr>
          <w:sz w:val="24"/>
          <w:szCs w:val="24"/>
        </w:rPr>
        <w:t>mitments</w:t>
      </w:r>
      <w:r w:rsidR="00A627D1" w:rsidRPr="00954546">
        <w:rPr>
          <w:sz w:val="24"/>
          <w:szCs w:val="24"/>
        </w:rPr>
        <w:t>. The progress runs</w:t>
      </w:r>
      <w:r w:rsidRPr="00954546">
        <w:rPr>
          <w:sz w:val="24"/>
          <w:szCs w:val="24"/>
        </w:rPr>
        <w:t xml:space="preserve"> account for</w:t>
      </w:r>
      <w:r w:rsidR="00A627D1" w:rsidRPr="00954546">
        <w:rPr>
          <w:sz w:val="24"/>
          <w:szCs w:val="24"/>
        </w:rPr>
        <w:t xml:space="preserve"> BMP implementation</w:t>
      </w:r>
      <w:r w:rsidRPr="00954546">
        <w:rPr>
          <w:sz w:val="24"/>
          <w:szCs w:val="24"/>
        </w:rPr>
        <w:t xml:space="preserve"> growth</w:t>
      </w:r>
      <w:r w:rsidR="00A627D1" w:rsidRPr="00954546">
        <w:rPr>
          <w:sz w:val="24"/>
          <w:szCs w:val="24"/>
        </w:rPr>
        <w:t xml:space="preserve"> by incorporating projected changes in land use from year to year</w:t>
      </w:r>
      <w:r w:rsidRPr="00954546">
        <w:rPr>
          <w:sz w:val="24"/>
          <w:szCs w:val="24"/>
        </w:rPr>
        <w:t xml:space="preserve">.  </w:t>
      </w:r>
      <w:r w:rsidR="00A627D1" w:rsidRPr="00954546">
        <w:rPr>
          <w:sz w:val="24"/>
          <w:szCs w:val="24"/>
        </w:rPr>
        <w:t>Since 2009, EPA has stated that it will be considering growth when assessing progress toward meeting the TMDL.</w:t>
      </w:r>
    </w:p>
    <w:p w:rsidR="009D24C5" w:rsidRPr="00954546" w:rsidRDefault="009D24C5" w:rsidP="001825B2">
      <w:pPr>
        <w:rPr>
          <w:sz w:val="24"/>
          <w:szCs w:val="24"/>
        </w:rPr>
      </w:pPr>
      <w:r w:rsidRPr="00954546">
        <w:rPr>
          <w:sz w:val="24"/>
          <w:szCs w:val="24"/>
        </w:rPr>
        <w:t xml:space="preserve">George: Previous understanding: </w:t>
      </w:r>
      <w:proofErr w:type="gramStart"/>
      <w:r w:rsidRPr="00954546">
        <w:rPr>
          <w:sz w:val="24"/>
          <w:szCs w:val="24"/>
        </w:rPr>
        <w:t>partnership consensus to measure milestones by isolating management actions from growth (pick</w:t>
      </w:r>
      <w:proofErr w:type="gramEnd"/>
      <w:r w:rsidRPr="00954546">
        <w:rPr>
          <w:sz w:val="24"/>
          <w:szCs w:val="24"/>
        </w:rPr>
        <w:t xml:space="preserve"> a baseline for milestone commitments and hold constant, judged on whether commitments were made).  Progress runs would reflect both actions and growth (mgt actions would be changed to account for growth)</w:t>
      </w:r>
    </w:p>
    <w:p w:rsidR="001F4F80" w:rsidRPr="00954546" w:rsidRDefault="000C6046" w:rsidP="001825B2">
      <w:pPr>
        <w:rPr>
          <w:sz w:val="24"/>
          <w:szCs w:val="24"/>
        </w:rPr>
      </w:pPr>
      <w:r w:rsidRPr="00954546">
        <w:rPr>
          <w:sz w:val="24"/>
          <w:szCs w:val="24"/>
        </w:rPr>
        <w:t xml:space="preserve">  </w:t>
      </w:r>
      <w:r w:rsidR="009D24C5" w:rsidRPr="00954546">
        <w:rPr>
          <w:sz w:val="24"/>
          <w:szCs w:val="24"/>
        </w:rPr>
        <w:tab/>
        <w:t>Sweeney: That w</w:t>
      </w:r>
      <w:r w:rsidR="00C94329" w:rsidRPr="00954546">
        <w:rPr>
          <w:sz w:val="24"/>
          <w:szCs w:val="24"/>
        </w:rPr>
        <w:t xml:space="preserve">as </w:t>
      </w:r>
      <w:r w:rsidR="00A627D1" w:rsidRPr="00954546">
        <w:rPr>
          <w:sz w:val="24"/>
          <w:szCs w:val="24"/>
        </w:rPr>
        <w:t xml:space="preserve">Milestone Workgroup </w:t>
      </w:r>
      <w:r w:rsidR="00C94329" w:rsidRPr="00954546">
        <w:rPr>
          <w:sz w:val="24"/>
          <w:szCs w:val="24"/>
        </w:rPr>
        <w:t>consensus,</w:t>
      </w:r>
      <w:r w:rsidR="00A627D1" w:rsidRPr="00954546">
        <w:rPr>
          <w:sz w:val="24"/>
          <w:szCs w:val="24"/>
        </w:rPr>
        <w:t xml:space="preserve"> but</w:t>
      </w:r>
      <w:r w:rsidR="00C94329" w:rsidRPr="00954546">
        <w:rPr>
          <w:sz w:val="24"/>
          <w:szCs w:val="24"/>
        </w:rPr>
        <w:t xml:space="preserve"> </w:t>
      </w:r>
      <w:proofErr w:type="spellStart"/>
      <w:r w:rsidR="009D24C5" w:rsidRPr="00954546">
        <w:rPr>
          <w:sz w:val="24"/>
          <w:szCs w:val="24"/>
        </w:rPr>
        <w:t>AgWG</w:t>
      </w:r>
      <w:proofErr w:type="spellEnd"/>
      <w:r w:rsidR="009D24C5" w:rsidRPr="00954546">
        <w:rPr>
          <w:sz w:val="24"/>
          <w:szCs w:val="24"/>
        </w:rPr>
        <w:t xml:space="preserve"> </w:t>
      </w:r>
      <w:r w:rsidR="00C94329" w:rsidRPr="00954546">
        <w:rPr>
          <w:sz w:val="24"/>
          <w:szCs w:val="24"/>
        </w:rPr>
        <w:t xml:space="preserve">then </w:t>
      </w:r>
      <w:r w:rsidR="009D24C5" w:rsidRPr="00954546">
        <w:rPr>
          <w:sz w:val="24"/>
          <w:szCs w:val="24"/>
        </w:rPr>
        <w:t>requested newer data be incorporated</w:t>
      </w:r>
      <w:r w:rsidR="00A627D1" w:rsidRPr="00954546">
        <w:rPr>
          <w:sz w:val="24"/>
          <w:szCs w:val="24"/>
        </w:rPr>
        <w:t xml:space="preserve"> into 2015 projections used for progress runs.</w:t>
      </w:r>
    </w:p>
    <w:p w:rsidR="009D24C5" w:rsidRPr="00954546" w:rsidRDefault="009D24C5" w:rsidP="001825B2">
      <w:pPr>
        <w:rPr>
          <w:sz w:val="24"/>
          <w:szCs w:val="24"/>
        </w:rPr>
      </w:pPr>
      <w:r w:rsidRPr="00954546">
        <w:rPr>
          <w:sz w:val="24"/>
          <w:szCs w:val="24"/>
        </w:rPr>
        <w:lastRenderedPageBreak/>
        <w:tab/>
        <w:t xml:space="preserve">George: Use both by </w:t>
      </w:r>
      <w:r w:rsidR="00C94329" w:rsidRPr="00954546">
        <w:rPr>
          <w:sz w:val="24"/>
          <w:szCs w:val="24"/>
        </w:rPr>
        <w:t>setting management action to account for projected growth (compensates for growth during planning process), will be problematic if new data vastly different from projections.  However, jurisdictions should not be held accountable for a bad projection</w:t>
      </w:r>
    </w:p>
    <w:p w:rsidR="00C94329" w:rsidRPr="00954546" w:rsidRDefault="00C94329" w:rsidP="001825B2">
      <w:pPr>
        <w:rPr>
          <w:sz w:val="24"/>
          <w:szCs w:val="24"/>
        </w:rPr>
      </w:pPr>
      <w:r w:rsidRPr="00954546">
        <w:rPr>
          <w:sz w:val="24"/>
          <w:szCs w:val="24"/>
        </w:rPr>
        <w:tab/>
      </w:r>
      <w:r w:rsidRPr="00954546">
        <w:rPr>
          <w:sz w:val="24"/>
          <w:szCs w:val="24"/>
        </w:rPr>
        <w:tab/>
        <w:t>Antos: EPA will continue to use Adaptive Management (incorporating most recent jurisdiction submissions</w:t>
      </w:r>
      <w:r w:rsidR="00A627D1" w:rsidRPr="00954546">
        <w:rPr>
          <w:sz w:val="24"/>
          <w:szCs w:val="24"/>
        </w:rPr>
        <w:t xml:space="preserve"> of milestone commitment targets</w:t>
      </w:r>
      <w:r w:rsidRPr="00954546">
        <w:rPr>
          <w:sz w:val="24"/>
          <w:szCs w:val="24"/>
        </w:rPr>
        <w:t>)</w:t>
      </w:r>
      <w:r w:rsidR="00A627D1" w:rsidRPr="00954546">
        <w:rPr>
          <w:sz w:val="24"/>
          <w:szCs w:val="24"/>
        </w:rPr>
        <w:t xml:space="preserve"> when assessing whether jurisdictions have met their milestone commitments.</w:t>
      </w:r>
    </w:p>
    <w:p w:rsidR="00A71AB4" w:rsidRPr="00954546" w:rsidRDefault="00A71AB4" w:rsidP="001825B2">
      <w:pPr>
        <w:rPr>
          <w:sz w:val="24"/>
          <w:szCs w:val="24"/>
        </w:rPr>
      </w:pPr>
      <w:r w:rsidRPr="00954546">
        <w:rPr>
          <w:sz w:val="24"/>
          <w:szCs w:val="24"/>
        </w:rPr>
        <w:tab/>
        <w:t>Davis-Martin:  How many Milestone drafts will be developed?</w:t>
      </w:r>
    </w:p>
    <w:p w:rsidR="00A71AB4" w:rsidRPr="00954546" w:rsidRDefault="00A71AB4" w:rsidP="001825B2">
      <w:pPr>
        <w:rPr>
          <w:sz w:val="24"/>
          <w:szCs w:val="24"/>
        </w:rPr>
      </w:pPr>
      <w:r w:rsidRPr="00954546">
        <w:rPr>
          <w:sz w:val="24"/>
          <w:szCs w:val="24"/>
        </w:rPr>
        <w:tab/>
      </w:r>
      <w:r w:rsidRPr="00954546">
        <w:rPr>
          <w:sz w:val="24"/>
          <w:szCs w:val="24"/>
        </w:rPr>
        <w:tab/>
        <w:t>Sweeney: There will be options for modification, unless jurisdictions see no need to revise</w:t>
      </w:r>
    </w:p>
    <w:p w:rsidR="00A71AB4" w:rsidRPr="00954546" w:rsidRDefault="00A71AB4" w:rsidP="001825B2">
      <w:pPr>
        <w:rPr>
          <w:sz w:val="24"/>
          <w:szCs w:val="24"/>
        </w:rPr>
      </w:pPr>
      <w:r w:rsidRPr="00954546">
        <w:rPr>
          <w:sz w:val="24"/>
          <w:szCs w:val="24"/>
        </w:rPr>
        <w:tab/>
        <w:t>Davis- Martin: VA agrees</w:t>
      </w:r>
    </w:p>
    <w:p w:rsidR="00A71AB4" w:rsidRPr="00954546" w:rsidRDefault="00A71AB4" w:rsidP="001825B2">
      <w:pPr>
        <w:rPr>
          <w:sz w:val="24"/>
          <w:szCs w:val="24"/>
        </w:rPr>
      </w:pPr>
      <w:r w:rsidRPr="00954546">
        <w:rPr>
          <w:sz w:val="24"/>
          <w:szCs w:val="24"/>
        </w:rPr>
        <w:tab/>
      </w:r>
      <w:r w:rsidRPr="00954546">
        <w:rPr>
          <w:sz w:val="24"/>
          <w:szCs w:val="24"/>
        </w:rPr>
        <w:tab/>
        <w:t xml:space="preserve">Sweeney: Recommend </w:t>
      </w:r>
      <w:r w:rsidR="00A627D1" w:rsidRPr="00954546">
        <w:rPr>
          <w:sz w:val="24"/>
          <w:szCs w:val="24"/>
        </w:rPr>
        <w:t xml:space="preserve">Milestones Workgroup representatives </w:t>
      </w:r>
      <w:r w:rsidRPr="00954546">
        <w:rPr>
          <w:sz w:val="24"/>
          <w:szCs w:val="24"/>
        </w:rPr>
        <w:t xml:space="preserve">discuss this with </w:t>
      </w:r>
      <w:proofErr w:type="spellStart"/>
      <w:r w:rsidRPr="00954546">
        <w:rPr>
          <w:sz w:val="24"/>
          <w:szCs w:val="24"/>
        </w:rPr>
        <w:t>AgWG</w:t>
      </w:r>
      <w:proofErr w:type="spellEnd"/>
      <w:r w:rsidRPr="00954546">
        <w:rPr>
          <w:sz w:val="24"/>
          <w:szCs w:val="24"/>
        </w:rPr>
        <w:t xml:space="preserve"> jurisdictional representatives</w:t>
      </w:r>
      <w:r w:rsidR="00A627D1" w:rsidRPr="00954546">
        <w:rPr>
          <w:sz w:val="24"/>
          <w:szCs w:val="24"/>
        </w:rPr>
        <w:t xml:space="preserve"> so there can be a consistent state position before the WQGIT.</w:t>
      </w:r>
    </w:p>
    <w:p w:rsidR="00616E7D" w:rsidRPr="00954546" w:rsidRDefault="00616E7D" w:rsidP="001825B2">
      <w:pPr>
        <w:rPr>
          <w:sz w:val="24"/>
          <w:szCs w:val="24"/>
        </w:rPr>
      </w:pPr>
      <w:r w:rsidRPr="00954546">
        <w:rPr>
          <w:sz w:val="24"/>
          <w:szCs w:val="24"/>
        </w:rPr>
        <w:t xml:space="preserve">George: Note that </w:t>
      </w:r>
      <w:proofErr w:type="spellStart"/>
      <w:r w:rsidRPr="00954546">
        <w:rPr>
          <w:sz w:val="24"/>
          <w:szCs w:val="24"/>
        </w:rPr>
        <w:t>AgWG</w:t>
      </w:r>
      <w:proofErr w:type="spellEnd"/>
      <w:r w:rsidRPr="00954546">
        <w:rPr>
          <w:sz w:val="24"/>
          <w:szCs w:val="24"/>
        </w:rPr>
        <w:t xml:space="preserve"> not concerned with management decisions</w:t>
      </w:r>
      <w:r w:rsidR="00A627D1" w:rsidRPr="00954546">
        <w:rPr>
          <w:sz w:val="24"/>
          <w:szCs w:val="24"/>
        </w:rPr>
        <w:t>.</w:t>
      </w:r>
      <w:r w:rsidRPr="00954546">
        <w:rPr>
          <w:sz w:val="24"/>
          <w:szCs w:val="24"/>
        </w:rPr>
        <w:t xml:space="preserve"> </w:t>
      </w:r>
      <w:r w:rsidR="00A627D1" w:rsidRPr="00954546">
        <w:rPr>
          <w:sz w:val="24"/>
          <w:szCs w:val="24"/>
        </w:rPr>
        <w:t>P</w:t>
      </w:r>
      <w:r w:rsidR="00732E9E" w:rsidRPr="00954546">
        <w:rPr>
          <w:sz w:val="24"/>
          <w:szCs w:val="24"/>
        </w:rPr>
        <w:t xml:space="preserve">artnership </w:t>
      </w:r>
      <w:r w:rsidRPr="00954546">
        <w:rPr>
          <w:sz w:val="24"/>
          <w:szCs w:val="24"/>
        </w:rPr>
        <w:t>should still be able to isolate management decisions, and call those ‘milestones’.</w:t>
      </w:r>
    </w:p>
    <w:p w:rsidR="00732E9E" w:rsidRPr="00954546" w:rsidRDefault="00732E9E" w:rsidP="001825B2">
      <w:pPr>
        <w:rPr>
          <w:sz w:val="24"/>
          <w:szCs w:val="24"/>
        </w:rPr>
      </w:pPr>
      <w:r w:rsidRPr="00954546">
        <w:rPr>
          <w:sz w:val="24"/>
          <w:szCs w:val="24"/>
        </w:rPr>
        <w:t xml:space="preserve">Antos: Clarify that all decisions </w:t>
      </w:r>
      <w:r w:rsidR="00A627D1" w:rsidRPr="00954546">
        <w:rPr>
          <w:sz w:val="24"/>
          <w:szCs w:val="24"/>
        </w:rPr>
        <w:t xml:space="preserve">about how to set milestone targets </w:t>
      </w:r>
      <w:r w:rsidRPr="00954546">
        <w:rPr>
          <w:sz w:val="24"/>
          <w:szCs w:val="24"/>
        </w:rPr>
        <w:t>have been through the partnership</w:t>
      </w:r>
    </w:p>
    <w:p w:rsidR="00732E9E" w:rsidRPr="00954546" w:rsidRDefault="00732E9E" w:rsidP="001825B2">
      <w:pPr>
        <w:rPr>
          <w:sz w:val="24"/>
          <w:szCs w:val="24"/>
        </w:rPr>
      </w:pPr>
      <w:r w:rsidRPr="00954546">
        <w:rPr>
          <w:sz w:val="24"/>
          <w:szCs w:val="24"/>
        </w:rPr>
        <w:tab/>
        <w:t>George: Choosing the most up to date projections (if different from milestones), still looking for a way to isolate management actions.</w:t>
      </w:r>
    </w:p>
    <w:p w:rsidR="00732E9E" w:rsidRPr="00954546" w:rsidRDefault="00732E9E" w:rsidP="001825B2">
      <w:pPr>
        <w:rPr>
          <w:sz w:val="24"/>
          <w:szCs w:val="24"/>
        </w:rPr>
      </w:pPr>
      <w:r w:rsidRPr="00954546">
        <w:rPr>
          <w:sz w:val="24"/>
          <w:szCs w:val="24"/>
        </w:rPr>
        <w:tab/>
        <w:t xml:space="preserve">Antos: </w:t>
      </w:r>
      <w:r w:rsidR="00A627D1" w:rsidRPr="00954546">
        <w:rPr>
          <w:sz w:val="24"/>
          <w:szCs w:val="24"/>
        </w:rPr>
        <w:t>So what you’re saying is that we should</w:t>
      </w:r>
      <w:r w:rsidRPr="00954546">
        <w:rPr>
          <w:sz w:val="24"/>
          <w:szCs w:val="24"/>
        </w:rPr>
        <w:t xml:space="preserve"> run two different versions of 2015 </w:t>
      </w:r>
      <w:proofErr w:type="gramStart"/>
      <w:r w:rsidRPr="00954546">
        <w:rPr>
          <w:sz w:val="24"/>
          <w:szCs w:val="24"/>
        </w:rPr>
        <w:t>progress,</w:t>
      </w:r>
      <w:proofErr w:type="gramEnd"/>
      <w:r w:rsidRPr="00954546">
        <w:rPr>
          <w:sz w:val="24"/>
          <w:szCs w:val="24"/>
        </w:rPr>
        <w:t xml:space="preserve"> </w:t>
      </w:r>
      <w:r w:rsidR="00A627D1" w:rsidRPr="00954546">
        <w:rPr>
          <w:sz w:val="24"/>
          <w:szCs w:val="24"/>
        </w:rPr>
        <w:t>instead of the</w:t>
      </w:r>
      <w:r w:rsidRPr="00954546">
        <w:rPr>
          <w:sz w:val="24"/>
          <w:szCs w:val="24"/>
        </w:rPr>
        <w:t xml:space="preserve"> option </w:t>
      </w:r>
      <w:r w:rsidR="00A627D1" w:rsidRPr="00954546">
        <w:rPr>
          <w:sz w:val="24"/>
          <w:szCs w:val="24"/>
        </w:rPr>
        <w:t xml:space="preserve">I </w:t>
      </w:r>
      <w:r w:rsidRPr="00954546">
        <w:rPr>
          <w:sz w:val="24"/>
          <w:szCs w:val="24"/>
        </w:rPr>
        <w:t>presented earlier to revise milestone commitments</w:t>
      </w:r>
      <w:r w:rsidR="00A627D1" w:rsidRPr="00954546">
        <w:rPr>
          <w:sz w:val="24"/>
          <w:szCs w:val="24"/>
        </w:rPr>
        <w:t>?</w:t>
      </w:r>
    </w:p>
    <w:p w:rsidR="00732E9E" w:rsidRPr="00954546" w:rsidRDefault="00732E9E" w:rsidP="001825B2">
      <w:pPr>
        <w:rPr>
          <w:sz w:val="24"/>
          <w:szCs w:val="24"/>
        </w:rPr>
      </w:pPr>
      <w:r w:rsidRPr="00954546">
        <w:rPr>
          <w:sz w:val="24"/>
          <w:szCs w:val="24"/>
        </w:rPr>
        <w:tab/>
        <w:t>George: Can Milestones evaluate management actions, and annual progress evaluate management and growth</w:t>
      </w:r>
    </w:p>
    <w:p w:rsidR="00732E9E" w:rsidRPr="007F1FFF" w:rsidRDefault="00732E9E" w:rsidP="001825B2">
      <w:pPr>
        <w:rPr>
          <w:sz w:val="24"/>
          <w:szCs w:val="24"/>
        </w:rPr>
      </w:pPr>
      <w:r w:rsidRPr="00954546">
        <w:rPr>
          <w:sz w:val="24"/>
          <w:szCs w:val="24"/>
        </w:rPr>
        <w:tab/>
      </w:r>
      <w:r w:rsidRPr="007F1FFF">
        <w:rPr>
          <w:sz w:val="24"/>
          <w:szCs w:val="24"/>
        </w:rPr>
        <w:t xml:space="preserve">Sylvester: This group will reconvene to discuss </w:t>
      </w:r>
      <w:r w:rsidR="00E22F14" w:rsidRPr="007F1FFF">
        <w:rPr>
          <w:sz w:val="24"/>
          <w:szCs w:val="24"/>
        </w:rPr>
        <w:t>and clarify how jurisdictions will develop 2015 milestones and how EPA will evaluate them</w:t>
      </w:r>
      <w:r w:rsidRPr="007F1FFF">
        <w:rPr>
          <w:sz w:val="24"/>
          <w:szCs w:val="24"/>
        </w:rPr>
        <w:t>.</w:t>
      </w:r>
    </w:p>
    <w:p w:rsidR="00903F07" w:rsidRPr="007F1FFF" w:rsidRDefault="00903F07" w:rsidP="001825B2">
      <w:pPr>
        <w:rPr>
          <w:b/>
          <w:sz w:val="24"/>
          <w:szCs w:val="24"/>
        </w:rPr>
      </w:pPr>
      <w:r w:rsidRPr="007F1FFF">
        <w:rPr>
          <w:b/>
          <w:sz w:val="24"/>
          <w:szCs w:val="24"/>
        </w:rPr>
        <w:t>Decision on Recommendation(s) to WQGIT</w:t>
      </w:r>
    </w:p>
    <w:p w:rsidR="00166480" w:rsidRPr="007F1FFF" w:rsidRDefault="001A3057" w:rsidP="001825B2">
      <w:pPr>
        <w:rPr>
          <w:sz w:val="24"/>
          <w:szCs w:val="24"/>
        </w:rPr>
      </w:pPr>
      <w:r w:rsidRPr="007F1FFF">
        <w:rPr>
          <w:sz w:val="24"/>
          <w:szCs w:val="24"/>
        </w:rPr>
        <w:t>R</w:t>
      </w:r>
      <w:r w:rsidR="00166480" w:rsidRPr="007F1FFF">
        <w:rPr>
          <w:sz w:val="24"/>
          <w:szCs w:val="24"/>
        </w:rPr>
        <w:t xml:space="preserve">ecommendation </w:t>
      </w:r>
      <w:r w:rsidR="0005228D" w:rsidRPr="007F1FFF">
        <w:rPr>
          <w:sz w:val="24"/>
          <w:szCs w:val="24"/>
        </w:rPr>
        <w:t>the</w:t>
      </w:r>
      <w:r w:rsidR="00166480" w:rsidRPr="007F1FFF">
        <w:rPr>
          <w:sz w:val="24"/>
          <w:szCs w:val="24"/>
        </w:rPr>
        <w:t xml:space="preserve"> jurisdictions </w:t>
      </w:r>
      <w:r w:rsidR="008F77B9" w:rsidRPr="007F1FFF">
        <w:rPr>
          <w:sz w:val="24"/>
          <w:szCs w:val="24"/>
        </w:rPr>
        <w:t>can live with</w:t>
      </w:r>
      <w:r w:rsidR="00166480" w:rsidRPr="007F1FFF">
        <w:rPr>
          <w:sz w:val="24"/>
          <w:szCs w:val="24"/>
        </w:rPr>
        <w:t>:</w:t>
      </w:r>
    </w:p>
    <w:p w:rsidR="00DA4333" w:rsidRDefault="00DA4333" w:rsidP="001825B2">
      <w:pPr>
        <w:rPr>
          <w:sz w:val="24"/>
          <w:szCs w:val="24"/>
        </w:rPr>
      </w:pPr>
      <w:r w:rsidRPr="0005228D">
        <w:rPr>
          <w:sz w:val="24"/>
          <w:szCs w:val="24"/>
        </w:rPr>
        <w:t xml:space="preserve">2015 milestone commitments will be developed using most up to-date-data available (using 2015 projections available in September 2013) and when the 2015 projections can be updated </w:t>
      </w:r>
      <w:r w:rsidRPr="0005228D">
        <w:rPr>
          <w:sz w:val="24"/>
          <w:szCs w:val="24"/>
        </w:rPr>
        <w:lastRenderedPageBreak/>
        <w:t>in Spring 2014 (based on the new 2012 Ag census being available), jurisdictions have the option to re-run and update 2015 milestone commitment targets accordingly</w:t>
      </w:r>
      <w:r w:rsidRPr="007F1FFF">
        <w:rPr>
          <w:sz w:val="24"/>
          <w:szCs w:val="24"/>
        </w:rPr>
        <w:t xml:space="preserve">. </w:t>
      </w:r>
      <w:r w:rsidR="0005228D" w:rsidRPr="007F1FFF">
        <w:rPr>
          <w:sz w:val="24"/>
          <w:szCs w:val="24"/>
        </w:rPr>
        <w:t xml:space="preserve"> The 2015 milestone commitments provided to EPA by Jan 15, 2014 should be considered “draft”.  If updates are required in spring 2014, those versions should be considered “final” (or “amended”).  If a jurisdiction decides updates are not required in the spring, their Jan submission should be considered “final”.  Only “final/amended” versions of the 2015 milestone commitments should be </w:t>
      </w:r>
      <w:r w:rsidR="00891BD1" w:rsidRPr="007F1FFF">
        <w:rPr>
          <w:sz w:val="24"/>
          <w:szCs w:val="24"/>
        </w:rPr>
        <w:t>communicated</w:t>
      </w:r>
      <w:r w:rsidR="0005228D" w:rsidRPr="007F1FFF">
        <w:rPr>
          <w:sz w:val="24"/>
          <w:szCs w:val="24"/>
        </w:rPr>
        <w:t xml:space="preserve"> </w:t>
      </w:r>
      <w:r w:rsidR="007F1FFF" w:rsidRPr="007F1FFF">
        <w:rPr>
          <w:sz w:val="23"/>
          <w:szCs w:val="23"/>
          <w:highlight w:val="yellow"/>
        </w:rPr>
        <w:t>as final commitments</w:t>
      </w:r>
      <w:r w:rsidR="007F1FFF" w:rsidRPr="007F1FFF">
        <w:rPr>
          <w:sz w:val="23"/>
          <w:szCs w:val="23"/>
        </w:rPr>
        <w:t xml:space="preserve"> </w:t>
      </w:r>
      <w:r w:rsidR="0005228D" w:rsidRPr="007F1FFF">
        <w:rPr>
          <w:sz w:val="24"/>
          <w:szCs w:val="24"/>
        </w:rPr>
        <w:t>to the public.</w:t>
      </w:r>
    </w:p>
    <w:p w:rsidR="00166480" w:rsidRPr="00166480" w:rsidRDefault="00166480" w:rsidP="001825B2">
      <w:pPr>
        <w:rPr>
          <w:sz w:val="24"/>
          <w:szCs w:val="24"/>
        </w:rPr>
      </w:pPr>
    </w:p>
    <w:p w:rsidR="004A3B7F" w:rsidRPr="00954546" w:rsidRDefault="005506AF" w:rsidP="005506AF">
      <w:pPr>
        <w:rPr>
          <w:b/>
          <w:sz w:val="24"/>
          <w:szCs w:val="24"/>
        </w:rPr>
      </w:pPr>
      <w:r w:rsidRPr="00954546">
        <w:rPr>
          <w:b/>
          <w:sz w:val="24"/>
          <w:szCs w:val="24"/>
        </w:rPr>
        <w:t>Open Discussion of additional topics</w:t>
      </w:r>
      <w:r w:rsidR="00DA4333">
        <w:rPr>
          <w:b/>
          <w:sz w:val="24"/>
          <w:szCs w:val="24"/>
        </w:rPr>
        <w:t xml:space="preserve"> – </w:t>
      </w:r>
      <w:r w:rsidR="00DA4333">
        <w:rPr>
          <w:sz w:val="24"/>
          <w:szCs w:val="24"/>
        </w:rPr>
        <w:t>N/A</w:t>
      </w:r>
    </w:p>
    <w:p w:rsidR="00166480" w:rsidRDefault="005506AF" w:rsidP="005506AF">
      <w:pPr>
        <w:rPr>
          <w:b/>
          <w:sz w:val="24"/>
          <w:szCs w:val="24"/>
        </w:rPr>
      </w:pPr>
      <w:r w:rsidRPr="00954546">
        <w:rPr>
          <w:b/>
          <w:sz w:val="24"/>
          <w:szCs w:val="24"/>
        </w:rPr>
        <w:t xml:space="preserve">Summarize follow up actions </w:t>
      </w:r>
      <w:r w:rsidR="00040BD6" w:rsidRPr="00954546">
        <w:rPr>
          <w:b/>
          <w:sz w:val="24"/>
          <w:szCs w:val="24"/>
        </w:rPr>
        <w:t xml:space="preserve"> </w:t>
      </w:r>
    </w:p>
    <w:p w:rsidR="00166480" w:rsidRPr="00954546" w:rsidRDefault="00166480" w:rsidP="005506AF">
      <w:pPr>
        <w:rPr>
          <w:b/>
          <w:sz w:val="24"/>
          <w:szCs w:val="24"/>
        </w:rPr>
      </w:pPr>
      <w:r w:rsidRPr="00954546">
        <w:rPr>
          <w:sz w:val="24"/>
          <w:szCs w:val="24"/>
        </w:rPr>
        <w:t>This group will reconvene</w:t>
      </w:r>
      <w:r>
        <w:rPr>
          <w:sz w:val="24"/>
          <w:szCs w:val="24"/>
        </w:rPr>
        <w:t xml:space="preserve"> after the WQ</w:t>
      </w:r>
      <w:r w:rsidRPr="007F1FFF">
        <w:rPr>
          <w:sz w:val="24"/>
          <w:szCs w:val="24"/>
        </w:rPr>
        <w:t xml:space="preserve">GIT meets to further </w:t>
      </w:r>
      <w:r w:rsidR="00D74D56" w:rsidRPr="007F1FFF">
        <w:rPr>
          <w:sz w:val="24"/>
          <w:szCs w:val="24"/>
        </w:rPr>
        <w:t>discuss and clarify how jurisdictions will</w:t>
      </w:r>
      <w:r w:rsidRPr="007F1FFF">
        <w:rPr>
          <w:sz w:val="24"/>
          <w:szCs w:val="24"/>
        </w:rPr>
        <w:t xml:space="preserve"> develop 2015 milestones</w:t>
      </w:r>
      <w:r w:rsidR="00D74D56" w:rsidRPr="007F1FFF">
        <w:rPr>
          <w:sz w:val="24"/>
          <w:szCs w:val="24"/>
        </w:rPr>
        <w:t xml:space="preserve"> and how EPA will evaluate them</w:t>
      </w:r>
      <w:r w:rsidRPr="007F1FFF">
        <w:rPr>
          <w:sz w:val="24"/>
          <w:szCs w:val="24"/>
        </w:rPr>
        <w:t>.</w:t>
      </w:r>
    </w:p>
    <w:p w:rsidR="00903F07" w:rsidRPr="00954546" w:rsidRDefault="00903F07" w:rsidP="005506AF">
      <w:pPr>
        <w:rPr>
          <w:b/>
          <w:sz w:val="28"/>
          <w:szCs w:val="28"/>
        </w:rPr>
      </w:pPr>
      <w:r w:rsidRPr="00954546">
        <w:rPr>
          <w:b/>
          <w:sz w:val="28"/>
          <w:szCs w:val="28"/>
        </w:rPr>
        <w:t>BACKGROUND:</w:t>
      </w:r>
    </w:p>
    <w:p w:rsidR="00712176" w:rsidRPr="00954546" w:rsidRDefault="00712176" w:rsidP="005506AF">
      <w:pPr>
        <w:rPr>
          <w:sz w:val="24"/>
          <w:szCs w:val="24"/>
        </w:rPr>
      </w:pPr>
      <w:r w:rsidRPr="00954546">
        <w:rPr>
          <w:sz w:val="24"/>
          <w:szCs w:val="24"/>
        </w:rPr>
        <w:t>Relevant Decisions/Actions from May 13, 2013 meeting of the WQGIT:</w:t>
      </w:r>
    </w:p>
    <w:p w:rsidR="00712176" w:rsidRPr="00954546" w:rsidRDefault="00712176" w:rsidP="00712176">
      <w:pPr>
        <w:ind w:left="720"/>
        <w:rPr>
          <w:sz w:val="24"/>
          <w:szCs w:val="24"/>
        </w:rPr>
      </w:pPr>
      <w:r w:rsidRPr="00954546">
        <w:rPr>
          <w:sz w:val="24"/>
          <w:szCs w:val="24"/>
        </w:rPr>
        <w:t xml:space="preserve">DECISION: WQGIT members decided to delay </w:t>
      </w:r>
    </w:p>
    <w:p w:rsidR="00712176" w:rsidRPr="00954546" w:rsidRDefault="00712176" w:rsidP="00712176">
      <w:pPr>
        <w:ind w:left="720"/>
        <w:rPr>
          <w:sz w:val="24"/>
          <w:szCs w:val="24"/>
        </w:rPr>
      </w:pPr>
      <w:r w:rsidRPr="00954546">
        <w:rPr>
          <w:sz w:val="24"/>
          <w:szCs w:val="24"/>
        </w:rPr>
        <w:t xml:space="preserve">ACTION: </w:t>
      </w:r>
      <w:r w:rsidR="00A627D1" w:rsidRPr="00954546">
        <w:rPr>
          <w:sz w:val="24"/>
          <w:szCs w:val="24"/>
        </w:rPr>
        <w:t xml:space="preserve">What 2015 projections to use for </w:t>
      </w:r>
      <w:r w:rsidRPr="00954546">
        <w:rPr>
          <w:sz w:val="24"/>
          <w:szCs w:val="24"/>
        </w:rPr>
        <w:t>annual progress</w:t>
      </w:r>
      <w:r w:rsidR="00A627D1" w:rsidRPr="00954546">
        <w:rPr>
          <w:sz w:val="24"/>
          <w:szCs w:val="24"/>
        </w:rPr>
        <w:t xml:space="preserve"> runs</w:t>
      </w:r>
      <w:r w:rsidRPr="00954546">
        <w:rPr>
          <w:sz w:val="24"/>
          <w:szCs w:val="24"/>
        </w:rPr>
        <w:t xml:space="preserve"> vs. milestone</w:t>
      </w:r>
      <w:r w:rsidR="00A627D1" w:rsidRPr="00954546">
        <w:rPr>
          <w:sz w:val="24"/>
          <w:szCs w:val="24"/>
        </w:rPr>
        <w:t xml:space="preserve"> commitment</w:t>
      </w:r>
      <w:r w:rsidRPr="00954546">
        <w:rPr>
          <w:sz w:val="24"/>
          <w:szCs w:val="24"/>
        </w:rPr>
        <w:t xml:space="preserve">s will be brought before the USWG, LUWG and WTWG prior to a final decision by the </w:t>
      </w:r>
      <w:proofErr w:type="gramStart"/>
      <w:r w:rsidRPr="00954546">
        <w:rPr>
          <w:sz w:val="24"/>
          <w:szCs w:val="24"/>
        </w:rPr>
        <w:t>WQGIT.</w:t>
      </w:r>
      <w:proofErr w:type="gramEnd"/>
      <w:r w:rsidRPr="00954546">
        <w:rPr>
          <w:sz w:val="24"/>
          <w:szCs w:val="24"/>
        </w:rPr>
        <w:t xml:space="preserve">  The 2012 Ag census incorporation issue will also be addressed during this time.</w:t>
      </w:r>
    </w:p>
    <w:p w:rsidR="00903F07" w:rsidRPr="00954546" w:rsidRDefault="00903F07" w:rsidP="005506AF">
      <w:pPr>
        <w:rPr>
          <w:sz w:val="24"/>
          <w:szCs w:val="24"/>
        </w:rPr>
      </w:pPr>
      <w:r w:rsidRPr="00954546">
        <w:rPr>
          <w:sz w:val="24"/>
          <w:szCs w:val="24"/>
        </w:rPr>
        <w:t xml:space="preserve">The Ag Workgroup is proposing to update </w:t>
      </w:r>
      <w:r w:rsidR="00A627D1" w:rsidRPr="00954546">
        <w:rPr>
          <w:sz w:val="24"/>
          <w:szCs w:val="24"/>
        </w:rPr>
        <w:t xml:space="preserve">the </w:t>
      </w:r>
      <w:r w:rsidRPr="00954546">
        <w:rPr>
          <w:sz w:val="24"/>
          <w:szCs w:val="24"/>
        </w:rPr>
        <w:t>land use</w:t>
      </w:r>
      <w:r w:rsidR="00A627D1" w:rsidRPr="00954546">
        <w:rPr>
          <w:sz w:val="24"/>
          <w:szCs w:val="24"/>
        </w:rPr>
        <w:t xml:space="preserve"> projections for future progress runs, including 2015,</w:t>
      </w:r>
      <w:r w:rsidRPr="00954546">
        <w:rPr>
          <w:sz w:val="24"/>
          <w:szCs w:val="24"/>
        </w:rPr>
        <w:t xml:space="preserve"> with 2012 Ag census data as this becomes available.  This could impact the recent decisions made by the Milestone workgroup on how to maintain a constant target for the 2014-15 milestone development and assessment.  There will be a milestone workgroup call scheduled for May in order to further discuss the impacts of t</w:t>
      </w:r>
      <w:r w:rsidR="00426297" w:rsidRPr="00954546">
        <w:rPr>
          <w:sz w:val="24"/>
          <w:szCs w:val="24"/>
        </w:rPr>
        <w:t>he recommendations from the Ag W</w:t>
      </w:r>
      <w:r w:rsidRPr="00954546">
        <w:rPr>
          <w:sz w:val="24"/>
          <w:szCs w:val="24"/>
        </w:rPr>
        <w:t xml:space="preserve">orkgroup.  The WQGIT is planning to make decisions about land use at their June 10th call.  </w:t>
      </w:r>
    </w:p>
    <w:p w:rsidR="00903F07" w:rsidRPr="00954546" w:rsidRDefault="00903F07" w:rsidP="005506AF">
      <w:pPr>
        <w:rPr>
          <w:b/>
          <w:sz w:val="24"/>
          <w:szCs w:val="24"/>
        </w:rPr>
      </w:pPr>
    </w:p>
    <w:p w:rsidR="004A3B7F" w:rsidRPr="00954546" w:rsidRDefault="004A3B7F" w:rsidP="005506AF">
      <w:pPr>
        <w:rPr>
          <w:b/>
          <w:sz w:val="24"/>
          <w:szCs w:val="24"/>
        </w:rPr>
      </w:pPr>
    </w:p>
    <w:sectPr w:rsidR="004A3B7F" w:rsidRPr="00954546" w:rsidSect="008E107D">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3A67" w:rsidRDefault="003C3A67" w:rsidP="00FD018B">
      <w:pPr>
        <w:spacing w:after="0" w:line="240" w:lineRule="auto"/>
      </w:pPr>
      <w:r>
        <w:separator/>
      </w:r>
    </w:p>
  </w:endnote>
  <w:endnote w:type="continuationSeparator" w:id="0">
    <w:p w:rsidR="003C3A67" w:rsidRDefault="003C3A67" w:rsidP="00FD01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58175"/>
      <w:docPartObj>
        <w:docPartGallery w:val="Page Numbers (Bottom of Page)"/>
        <w:docPartUnique/>
      </w:docPartObj>
    </w:sdtPr>
    <w:sdtContent>
      <w:sdt>
        <w:sdtPr>
          <w:id w:val="565050523"/>
          <w:docPartObj>
            <w:docPartGallery w:val="Page Numbers (Top of Page)"/>
            <w:docPartUnique/>
          </w:docPartObj>
        </w:sdtPr>
        <w:sdtContent>
          <w:p w:rsidR="00FD018B" w:rsidRDefault="00FD018B">
            <w:pPr>
              <w:pStyle w:val="Footer"/>
              <w:jc w:val="right"/>
            </w:pPr>
            <w:r>
              <w:t xml:space="preserve">Page </w:t>
            </w:r>
            <w:r w:rsidR="00804456">
              <w:rPr>
                <w:b/>
                <w:sz w:val="24"/>
                <w:szCs w:val="24"/>
              </w:rPr>
              <w:fldChar w:fldCharType="begin"/>
            </w:r>
            <w:r>
              <w:rPr>
                <w:b/>
              </w:rPr>
              <w:instrText xml:space="preserve"> PAGE </w:instrText>
            </w:r>
            <w:r w:rsidR="00804456">
              <w:rPr>
                <w:b/>
                <w:sz w:val="24"/>
                <w:szCs w:val="24"/>
              </w:rPr>
              <w:fldChar w:fldCharType="separate"/>
            </w:r>
            <w:r w:rsidR="00E1091A">
              <w:rPr>
                <w:b/>
                <w:noProof/>
              </w:rPr>
              <w:t>4</w:t>
            </w:r>
            <w:r w:rsidR="00804456">
              <w:rPr>
                <w:b/>
                <w:sz w:val="24"/>
                <w:szCs w:val="24"/>
              </w:rPr>
              <w:fldChar w:fldCharType="end"/>
            </w:r>
            <w:r>
              <w:t xml:space="preserve"> of </w:t>
            </w:r>
            <w:r w:rsidR="00804456">
              <w:rPr>
                <w:b/>
                <w:sz w:val="24"/>
                <w:szCs w:val="24"/>
              </w:rPr>
              <w:fldChar w:fldCharType="begin"/>
            </w:r>
            <w:r>
              <w:rPr>
                <w:b/>
              </w:rPr>
              <w:instrText xml:space="preserve"> NUMPAGES  </w:instrText>
            </w:r>
            <w:r w:rsidR="00804456">
              <w:rPr>
                <w:b/>
                <w:sz w:val="24"/>
                <w:szCs w:val="24"/>
              </w:rPr>
              <w:fldChar w:fldCharType="separate"/>
            </w:r>
            <w:r w:rsidR="00E1091A">
              <w:rPr>
                <w:b/>
                <w:noProof/>
              </w:rPr>
              <w:t>6</w:t>
            </w:r>
            <w:r w:rsidR="00804456">
              <w:rPr>
                <w:b/>
                <w:sz w:val="24"/>
                <w:szCs w:val="24"/>
              </w:rPr>
              <w:fldChar w:fldCharType="end"/>
            </w:r>
          </w:p>
        </w:sdtContent>
      </w:sdt>
    </w:sdtContent>
  </w:sdt>
  <w:p w:rsidR="00FD018B" w:rsidRDefault="00FD01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3A67" w:rsidRDefault="003C3A67" w:rsidP="00FD018B">
      <w:pPr>
        <w:spacing w:after="0" w:line="240" w:lineRule="auto"/>
      </w:pPr>
      <w:r>
        <w:separator/>
      </w:r>
    </w:p>
  </w:footnote>
  <w:footnote w:type="continuationSeparator" w:id="0">
    <w:p w:rsidR="003C3A67" w:rsidRDefault="003C3A67" w:rsidP="00FD01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729F1"/>
    <w:multiLevelType w:val="hybridMultilevel"/>
    <w:tmpl w:val="65807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AE3F51"/>
    <w:multiLevelType w:val="hybridMultilevel"/>
    <w:tmpl w:val="4EB4D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ED7CA1"/>
    <w:multiLevelType w:val="hybridMultilevel"/>
    <w:tmpl w:val="06CC2E5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0C1156"/>
    <w:multiLevelType w:val="hybridMultilevel"/>
    <w:tmpl w:val="9920CC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157342"/>
    <w:multiLevelType w:val="hybridMultilevel"/>
    <w:tmpl w:val="F4A05C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CA112B"/>
    <w:multiLevelType w:val="hybridMultilevel"/>
    <w:tmpl w:val="E7E61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830EA3"/>
    <w:multiLevelType w:val="hybridMultilevel"/>
    <w:tmpl w:val="74B6F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794BAA"/>
    <w:multiLevelType w:val="hybridMultilevel"/>
    <w:tmpl w:val="292A83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A4D08C0"/>
    <w:multiLevelType w:val="hybridMultilevel"/>
    <w:tmpl w:val="D400B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951E93"/>
    <w:multiLevelType w:val="hybridMultilevel"/>
    <w:tmpl w:val="6B8EAB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0A15FB2"/>
    <w:multiLevelType w:val="hybridMultilevel"/>
    <w:tmpl w:val="CC4E6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EA547F"/>
    <w:multiLevelType w:val="hybridMultilevel"/>
    <w:tmpl w:val="C64C0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947BB4"/>
    <w:multiLevelType w:val="hybridMultilevel"/>
    <w:tmpl w:val="D27A1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6220BBC"/>
    <w:multiLevelType w:val="hybridMultilevel"/>
    <w:tmpl w:val="F4D89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DBB151F"/>
    <w:multiLevelType w:val="hybridMultilevel"/>
    <w:tmpl w:val="D68EB834"/>
    <w:lvl w:ilvl="0" w:tplc="04090001">
      <w:start w:val="1"/>
      <w:numFmt w:val="bullet"/>
      <w:lvlText w:val=""/>
      <w:lvlJc w:val="left"/>
      <w:pPr>
        <w:ind w:left="1206" w:hanging="360"/>
      </w:pPr>
      <w:rPr>
        <w:rFonts w:ascii="Symbol" w:hAnsi="Symbol" w:hint="default"/>
      </w:rPr>
    </w:lvl>
    <w:lvl w:ilvl="1" w:tplc="04090003" w:tentative="1">
      <w:start w:val="1"/>
      <w:numFmt w:val="bullet"/>
      <w:lvlText w:val="o"/>
      <w:lvlJc w:val="left"/>
      <w:pPr>
        <w:ind w:left="1926" w:hanging="360"/>
      </w:pPr>
      <w:rPr>
        <w:rFonts w:ascii="Courier New" w:hAnsi="Courier New" w:cs="Courier New" w:hint="default"/>
      </w:rPr>
    </w:lvl>
    <w:lvl w:ilvl="2" w:tplc="04090005" w:tentative="1">
      <w:start w:val="1"/>
      <w:numFmt w:val="bullet"/>
      <w:lvlText w:val=""/>
      <w:lvlJc w:val="left"/>
      <w:pPr>
        <w:ind w:left="2646" w:hanging="360"/>
      </w:pPr>
      <w:rPr>
        <w:rFonts w:ascii="Wingdings" w:hAnsi="Wingdings" w:hint="default"/>
      </w:rPr>
    </w:lvl>
    <w:lvl w:ilvl="3" w:tplc="04090001" w:tentative="1">
      <w:start w:val="1"/>
      <w:numFmt w:val="bullet"/>
      <w:lvlText w:val=""/>
      <w:lvlJc w:val="left"/>
      <w:pPr>
        <w:ind w:left="3366" w:hanging="360"/>
      </w:pPr>
      <w:rPr>
        <w:rFonts w:ascii="Symbol" w:hAnsi="Symbol" w:hint="default"/>
      </w:rPr>
    </w:lvl>
    <w:lvl w:ilvl="4" w:tplc="04090003" w:tentative="1">
      <w:start w:val="1"/>
      <w:numFmt w:val="bullet"/>
      <w:lvlText w:val="o"/>
      <w:lvlJc w:val="left"/>
      <w:pPr>
        <w:ind w:left="4086" w:hanging="360"/>
      </w:pPr>
      <w:rPr>
        <w:rFonts w:ascii="Courier New" w:hAnsi="Courier New" w:cs="Courier New" w:hint="default"/>
      </w:rPr>
    </w:lvl>
    <w:lvl w:ilvl="5" w:tplc="04090005" w:tentative="1">
      <w:start w:val="1"/>
      <w:numFmt w:val="bullet"/>
      <w:lvlText w:val=""/>
      <w:lvlJc w:val="left"/>
      <w:pPr>
        <w:ind w:left="4806" w:hanging="360"/>
      </w:pPr>
      <w:rPr>
        <w:rFonts w:ascii="Wingdings" w:hAnsi="Wingdings" w:hint="default"/>
      </w:rPr>
    </w:lvl>
    <w:lvl w:ilvl="6" w:tplc="04090001" w:tentative="1">
      <w:start w:val="1"/>
      <w:numFmt w:val="bullet"/>
      <w:lvlText w:val=""/>
      <w:lvlJc w:val="left"/>
      <w:pPr>
        <w:ind w:left="5526" w:hanging="360"/>
      </w:pPr>
      <w:rPr>
        <w:rFonts w:ascii="Symbol" w:hAnsi="Symbol" w:hint="default"/>
      </w:rPr>
    </w:lvl>
    <w:lvl w:ilvl="7" w:tplc="04090003" w:tentative="1">
      <w:start w:val="1"/>
      <w:numFmt w:val="bullet"/>
      <w:lvlText w:val="o"/>
      <w:lvlJc w:val="left"/>
      <w:pPr>
        <w:ind w:left="6246" w:hanging="360"/>
      </w:pPr>
      <w:rPr>
        <w:rFonts w:ascii="Courier New" w:hAnsi="Courier New" w:cs="Courier New" w:hint="default"/>
      </w:rPr>
    </w:lvl>
    <w:lvl w:ilvl="8" w:tplc="04090005" w:tentative="1">
      <w:start w:val="1"/>
      <w:numFmt w:val="bullet"/>
      <w:lvlText w:val=""/>
      <w:lvlJc w:val="left"/>
      <w:pPr>
        <w:ind w:left="6966" w:hanging="360"/>
      </w:pPr>
      <w:rPr>
        <w:rFonts w:ascii="Wingdings" w:hAnsi="Wingdings" w:hint="default"/>
      </w:rPr>
    </w:lvl>
  </w:abstractNum>
  <w:abstractNum w:abstractNumId="15">
    <w:nsid w:val="607241AC"/>
    <w:multiLevelType w:val="hybridMultilevel"/>
    <w:tmpl w:val="7C461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C22D1F"/>
    <w:multiLevelType w:val="hybridMultilevel"/>
    <w:tmpl w:val="BE929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6C97FB3"/>
    <w:multiLevelType w:val="hybridMultilevel"/>
    <w:tmpl w:val="6FF2F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91D4C67"/>
    <w:multiLevelType w:val="hybridMultilevel"/>
    <w:tmpl w:val="861C462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6C11B98"/>
    <w:multiLevelType w:val="hybridMultilevel"/>
    <w:tmpl w:val="A5649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18"/>
  </w:num>
  <w:num w:numId="4">
    <w:abstractNumId w:val="10"/>
  </w:num>
  <w:num w:numId="5">
    <w:abstractNumId w:val="6"/>
  </w:num>
  <w:num w:numId="6">
    <w:abstractNumId w:val="9"/>
  </w:num>
  <w:num w:numId="7">
    <w:abstractNumId w:val="19"/>
  </w:num>
  <w:num w:numId="8">
    <w:abstractNumId w:val="11"/>
  </w:num>
  <w:num w:numId="9">
    <w:abstractNumId w:val="13"/>
  </w:num>
  <w:num w:numId="10">
    <w:abstractNumId w:val="12"/>
  </w:num>
  <w:num w:numId="11">
    <w:abstractNumId w:val="1"/>
  </w:num>
  <w:num w:numId="12">
    <w:abstractNumId w:val="4"/>
  </w:num>
  <w:num w:numId="13">
    <w:abstractNumId w:val="5"/>
  </w:num>
  <w:num w:numId="14">
    <w:abstractNumId w:val="0"/>
  </w:num>
  <w:num w:numId="15">
    <w:abstractNumId w:val="2"/>
  </w:num>
  <w:num w:numId="16">
    <w:abstractNumId w:val="17"/>
  </w:num>
  <w:num w:numId="17">
    <w:abstractNumId w:val="8"/>
  </w:num>
  <w:num w:numId="18">
    <w:abstractNumId w:val="7"/>
  </w:num>
  <w:num w:numId="19">
    <w:abstractNumId w:val="14"/>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4D6237"/>
    <w:rsid w:val="00040BD6"/>
    <w:rsid w:val="00046E62"/>
    <w:rsid w:val="0005228D"/>
    <w:rsid w:val="0007184F"/>
    <w:rsid w:val="000A72B8"/>
    <w:rsid w:val="000C6046"/>
    <w:rsid w:val="000E530C"/>
    <w:rsid w:val="000F6FFA"/>
    <w:rsid w:val="001013DB"/>
    <w:rsid w:val="00102782"/>
    <w:rsid w:val="001201FF"/>
    <w:rsid w:val="001204EE"/>
    <w:rsid w:val="00166480"/>
    <w:rsid w:val="001825B2"/>
    <w:rsid w:val="001947A8"/>
    <w:rsid w:val="001A3057"/>
    <w:rsid w:val="001F4F80"/>
    <w:rsid w:val="00245D16"/>
    <w:rsid w:val="0027290D"/>
    <w:rsid w:val="00285EB7"/>
    <w:rsid w:val="002A67C5"/>
    <w:rsid w:val="00322F78"/>
    <w:rsid w:val="00331627"/>
    <w:rsid w:val="003546D9"/>
    <w:rsid w:val="00356F5E"/>
    <w:rsid w:val="00387DD9"/>
    <w:rsid w:val="003C3A67"/>
    <w:rsid w:val="003C42BF"/>
    <w:rsid w:val="003C4F77"/>
    <w:rsid w:val="00403E64"/>
    <w:rsid w:val="00410B24"/>
    <w:rsid w:val="00426297"/>
    <w:rsid w:val="00431D5F"/>
    <w:rsid w:val="0044054D"/>
    <w:rsid w:val="004517F1"/>
    <w:rsid w:val="004622CD"/>
    <w:rsid w:val="00486AD1"/>
    <w:rsid w:val="004A3B7F"/>
    <w:rsid w:val="004C03F3"/>
    <w:rsid w:val="004C43AE"/>
    <w:rsid w:val="004C5729"/>
    <w:rsid w:val="004D362C"/>
    <w:rsid w:val="004D6237"/>
    <w:rsid w:val="004E2948"/>
    <w:rsid w:val="00512BF2"/>
    <w:rsid w:val="00516980"/>
    <w:rsid w:val="005506AF"/>
    <w:rsid w:val="005532EF"/>
    <w:rsid w:val="005B17A6"/>
    <w:rsid w:val="005C6BFA"/>
    <w:rsid w:val="005E7C8A"/>
    <w:rsid w:val="0060489B"/>
    <w:rsid w:val="00616E7D"/>
    <w:rsid w:val="00641664"/>
    <w:rsid w:val="00653E50"/>
    <w:rsid w:val="00665072"/>
    <w:rsid w:val="00686909"/>
    <w:rsid w:val="006D3D49"/>
    <w:rsid w:val="00712176"/>
    <w:rsid w:val="0073276F"/>
    <w:rsid w:val="00732E9E"/>
    <w:rsid w:val="00775B5D"/>
    <w:rsid w:val="00777E7B"/>
    <w:rsid w:val="007A4E68"/>
    <w:rsid w:val="007C5BE0"/>
    <w:rsid w:val="007D6343"/>
    <w:rsid w:val="007D75A9"/>
    <w:rsid w:val="007E07C4"/>
    <w:rsid w:val="007E135F"/>
    <w:rsid w:val="007E53CD"/>
    <w:rsid w:val="007E701B"/>
    <w:rsid w:val="007E7256"/>
    <w:rsid w:val="007F1FFF"/>
    <w:rsid w:val="007F2DDC"/>
    <w:rsid w:val="007F4FC3"/>
    <w:rsid w:val="00804456"/>
    <w:rsid w:val="00811CCD"/>
    <w:rsid w:val="00811D82"/>
    <w:rsid w:val="00825A77"/>
    <w:rsid w:val="0083408B"/>
    <w:rsid w:val="00841B4F"/>
    <w:rsid w:val="0084647E"/>
    <w:rsid w:val="00871A9C"/>
    <w:rsid w:val="0088342A"/>
    <w:rsid w:val="00891BD1"/>
    <w:rsid w:val="008D38E8"/>
    <w:rsid w:val="008E107D"/>
    <w:rsid w:val="008E1FC9"/>
    <w:rsid w:val="008E3FE1"/>
    <w:rsid w:val="008F76E4"/>
    <w:rsid w:val="008F77B9"/>
    <w:rsid w:val="00903F07"/>
    <w:rsid w:val="00920FB4"/>
    <w:rsid w:val="00954546"/>
    <w:rsid w:val="009568C0"/>
    <w:rsid w:val="009832C6"/>
    <w:rsid w:val="009A2379"/>
    <w:rsid w:val="009C150E"/>
    <w:rsid w:val="009D24C5"/>
    <w:rsid w:val="009E4686"/>
    <w:rsid w:val="009F6F9E"/>
    <w:rsid w:val="00A46C47"/>
    <w:rsid w:val="00A627D1"/>
    <w:rsid w:val="00A71AB4"/>
    <w:rsid w:val="00AC230B"/>
    <w:rsid w:val="00AC7D8D"/>
    <w:rsid w:val="00AE4C92"/>
    <w:rsid w:val="00AF1D64"/>
    <w:rsid w:val="00B06A51"/>
    <w:rsid w:val="00B30BA6"/>
    <w:rsid w:val="00B522CB"/>
    <w:rsid w:val="00B73DC0"/>
    <w:rsid w:val="00B84B79"/>
    <w:rsid w:val="00BA758A"/>
    <w:rsid w:val="00BE12CB"/>
    <w:rsid w:val="00C267DD"/>
    <w:rsid w:val="00C26A0C"/>
    <w:rsid w:val="00C33B29"/>
    <w:rsid w:val="00C61989"/>
    <w:rsid w:val="00C94329"/>
    <w:rsid w:val="00CB0DC3"/>
    <w:rsid w:val="00CD770F"/>
    <w:rsid w:val="00D0118C"/>
    <w:rsid w:val="00D058E4"/>
    <w:rsid w:val="00D74D56"/>
    <w:rsid w:val="00D97499"/>
    <w:rsid w:val="00DA4333"/>
    <w:rsid w:val="00DB1F70"/>
    <w:rsid w:val="00DE5E0D"/>
    <w:rsid w:val="00DE614E"/>
    <w:rsid w:val="00DF1F77"/>
    <w:rsid w:val="00DF5429"/>
    <w:rsid w:val="00E1091A"/>
    <w:rsid w:val="00E22F14"/>
    <w:rsid w:val="00E37C19"/>
    <w:rsid w:val="00E4368A"/>
    <w:rsid w:val="00E6449E"/>
    <w:rsid w:val="00E71AEF"/>
    <w:rsid w:val="00E949A9"/>
    <w:rsid w:val="00EA7024"/>
    <w:rsid w:val="00ED6B0B"/>
    <w:rsid w:val="00EE5084"/>
    <w:rsid w:val="00F02B29"/>
    <w:rsid w:val="00F26AAE"/>
    <w:rsid w:val="00F446E8"/>
    <w:rsid w:val="00F61BB7"/>
    <w:rsid w:val="00F70525"/>
    <w:rsid w:val="00F85FA7"/>
    <w:rsid w:val="00FB152C"/>
    <w:rsid w:val="00FB4D22"/>
    <w:rsid w:val="00FC1A3D"/>
    <w:rsid w:val="00FC6C8F"/>
    <w:rsid w:val="00FD018B"/>
    <w:rsid w:val="00FE12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2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D623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DF5429"/>
    <w:pPr>
      <w:ind w:left="720"/>
      <w:contextualSpacing/>
    </w:pPr>
  </w:style>
  <w:style w:type="character" w:styleId="Hyperlink">
    <w:name w:val="Hyperlink"/>
    <w:basedOn w:val="DefaultParagraphFont"/>
    <w:uiPriority w:val="99"/>
    <w:unhideWhenUsed/>
    <w:rsid w:val="005C6BFA"/>
    <w:rPr>
      <w:color w:val="0000FF" w:themeColor="hyperlink"/>
      <w:u w:val="single"/>
    </w:rPr>
  </w:style>
  <w:style w:type="paragraph" w:styleId="BalloonText">
    <w:name w:val="Balloon Text"/>
    <w:basedOn w:val="Normal"/>
    <w:link w:val="BalloonTextChar"/>
    <w:uiPriority w:val="99"/>
    <w:semiHidden/>
    <w:unhideWhenUsed/>
    <w:rsid w:val="00285E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5EB7"/>
    <w:rPr>
      <w:rFonts w:ascii="Tahoma" w:hAnsi="Tahoma" w:cs="Tahoma"/>
      <w:sz w:val="16"/>
      <w:szCs w:val="16"/>
    </w:rPr>
  </w:style>
  <w:style w:type="character" w:styleId="FollowedHyperlink">
    <w:name w:val="FollowedHyperlink"/>
    <w:basedOn w:val="DefaultParagraphFont"/>
    <w:uiPriority w:val="99"/>
    <w:semiHidden/>
    <w:unhideWhenUsed/>
    <w:rsid w:val="0044054D"/>
    <w:rPr>
      <w:color w:val="800080" w:themeColor="followedHyperlink"/>
      <w:u w:val="single"/>
    </w:rPr>
  </w:style>
  <w:style w:type="character" w:styleId="CommentReference">
    <w:name w:val="annotation reference"/>
    <w:basedOn w:val="DefaultParagraphFont"/>
    <w:uiPriority w:val="99"/>
    <w:semiHidden/>
    <w:unhideWhenUsed/>
    <w:rsid w:val="007F2DDC"/>
    <w:rPr>
      <w:sz w:val="16"/>
      <w:szCs w:val="16"/>
    </w:rPr>
  </w:style>
  <w:style w:type="paragraph" w:styleId="CommentText">
    <w:name w:val="annotation text"/>
    <w:basedOn w:val="Normal"/>
    <w:link w:val="CommentTextChar"/>
    <w:uiPriority w:val="99"/>
    <w:semiHidden/>
    <w:unhideWhenUsed/>
    <w:rsid w:val="007F2DDC"/>
    <w:pPr>
      <w:spacing w:line="240" w:lineRule="auto"/>
    </w:pPr>
    <w:rPr>
      <w:sz w:val="20"/>
      <w:szCs w:val="20"/>
    </w:rPr>
  </w:style>
  <w:style w:type="character" w:customStyle="1" w:styleId="CommentTextChar">
    <w:name w:val="Comment Text Char"/>
    <w:basedOn w:val="DefaultParagraphFont"/>
    <w:link w:val="CommentText"/>
    <w:uiPriority w:val="99"/>
    <w:semiHidden/>
    <w:rsid w:val="007F2DDC"/>
    <w:rPr>
      <w:sz w:val="20"/>
      <w:szCs w:val="20"/>
    </w:rPr>
  </w:style>
  <w:style w:type="paragraph" w:styleId="CommentSubject">
    <w:name w:val="annotation subject"/>
    <w:basedOn w:val="CommentText"/>
    <w:next w:val="CommentText"/>
    <w:link w:val="CommentSubjectChar"/>
    <w:uiPriority w:val="99"/>
    <w:semiHidden/>
    <w:unhideWhenUsed/>
    <w:rsid w:val="007F2DDC"/>
    <w:rPr>
      <w:b/>
      <w:bCs/>
    </w:rPr>
  </w:style>
  <w:style w:type="character" w:customStyle="1" w:styleId="CommentSubjectChar">
    <w:name w:val="Comment Subject Char"/>
    <w:basedOn w:val="CommentTextChar"/>
    <w:link w:val="CommentSubject"/>
    <w:uiPriority w:val="99"/>
    <w:semiHidden/>
    <w:rsid w:val="007F2DDC"/>
    <w:rPr>
      <w:b/>
      <w:bCs/>
    </w:rPr>
  </w:style>
  <w:style w:type="paragraph" w:styleId="Header">
    <w:name w:val="header"/>
    <w:basedOn w:val="Normal"/>
    <w:link w:val="HeaderChar"/>
    <w:uiPriority w:val="99"/>
    <w:semiHidden/>
    <w:unhideWhenUsed/>
    <w:rsid w:val="00FD018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018B"/>
  </w:style>
  <w:style w:type="paragraph" w:styleId="Footer">
    <w:name w:val="footer"/>
    <w:basedOn w:val="Normal"/>
    <w:link w:val="FooterChar"/>
    <w:uiPriority w:val="99"/>
    <w:unhideWhenUsed/>
    <w:rsid w:val="00FD01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018B"/>
  </w:style>
</w:styles>
</file>

<file path=word/webSettings.xml><?xml version="1.0" encoding="utf-8"?>
<w:webSettings xmlns:r="http://schemas.openxmlformats.org/officeDocument/2006/relationships" xmlns:w="http://schemas.openxmlformats.org/wordprocessingml/2006/main">
  <w:divs>
    <w:div w:id="130542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a.connectsolutions.com/mw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hesapeakebay.net/S=0/calendar/event/195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7A30A4-BEF2-4D37-A029-49E3CF414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1745</Words>
  <Characters>9951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11673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TREVENA</dc:creator>
  <cp:lastModifiedBy>nsylvest</cp:lastModifiedBy>
  <cp:revision>4</cp:revision>
  <cp:lastPrinted>2012-12-12T19:22:00Z</cp:lastPrinted>
  <dcterms:created xsi:type="dcterms:W3CDTF">2013-06-06T18:11:00Z</dcterms:created>
  <dcterms:modified xsi:type="dcterms:W3CDTF">2013-06-06T18:38:00Z</dcterms:modified>
</cp:coreProperties>
</file>