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F443B" w14:textId="77777777" w:rsidR="00CA4F9A" w:rsidRDefault="00CA4F9A" w:rsidP="000E5ACF">
      <w:bookmarkStart w:id="0" w:name="_GoBack"/>
      <w:bookmarkEnd w:id="0"/>
    </w:p>
    <w:p w14:paraId="74F6E58E" w14:textId="62E0163B" w:rsidR="00040912" w:rsidRDefault="00040912" w:rsidP="000E5ACF"/>
    <w:tbl>
      <w:tblPr>
        <w:tblStyle w:val="TableGrid"/>
        <w:tblW w:w="0" w:type="auto"/>
        <w:tblBorders>
          <w:top w:val="single" w:sz="18" w:space="0" w:color="D0CECE" w:themeColor="background2" w:themeShade="E6"/>
          <w:left w:val="none" w:sz="0" w:space="0" w:color="auto"/>
          <w:bottom w:val="single" w:sz="18" w:space="0" w:color="D0CECE" w:themeColor="background2" w:themeShade="E6"/>
          <w:right w:val="none" w:sz="0" w:space="0" w:color="auto"/>
          <w:insideH w:val="single" w:sz="2" w:space="0" w:color="AEAAAA" w:themeColor="background2" w:themeShade="BF"/>
          <w:insideV w:val="none" w:sz="0" w:space="0" w:color="auto"/>
        </w:tblBorders>
        <w:tblCellMar>
          <w:top w:w="29" w:type="dxa"/>
          <w:left w:w="115" w:type="dxa"/>
          <w:bottom w:w="29" w:type="dxa"/>
          <w:right w:w="115" w:type="dxa"/>
        </w:tblCellMar>
        <w:tblLook w:val="04A0" w:firstRow="1" w:lastRow="0" w:firstColumn="1" w:lastColumn="0" w:noHBand="0" w:noVBand="1"/>
      </w:tblPr>
      <w:tblGrid>
        <w:gridCol w:w="1017"/>
        <w:gridCol w:w="8343"/>
      </w:tblGrid>
      <w:tr w:rsidR="00040912" w14:paraId="653D30A5" w14:textId="77777777" w:rsidTr="000E5ACF">
        <w:tc>
          <w:tcPr>
            <w:tcW w:w="1017" w:type="dxa"/>
          </w:tcPr>
          <w:p w14:paraId="76460F22" w14:textId="77777777" w:rsidR="00040912" w:rsidRPr="00D62A04" w:rsidRDefault="00040912" w:rsidP="00B46023">
            <w:pPr>
              <w:rPr>
                <w:rStyle w:val="IntenseEmphasisBlue"/>
              </w:rPr>
            </w:pPr>
            <w:r w:rsidRPr="00D62A04">
              <w:rPr>
                <w:rStyle w:val="IntenseEmphasisBlue"/>
              </w:rPr>
              <w:t>To:</w:t>
            </w:r>
          </w:p>
        </w:tc>
        <w:tc>
          <w:tcPr>
            <w:tcW w:w="8343" w:type="dxa"/>
          </w:tcPr>
          <w:p w14:paraId="78BF7D77" w14:textId="73EEE67D" w:rsidR="00040912" w:rsidRPr="00EB67E8" w:rsidRDefault="00040912" w:rsidP="00B46023">
            <w:r>
              <w:t>Chesapeake Bay Trust, Diversity Workgroup, Toxic Contaminants Workgroup</w:t>
            </w:r>
          </w:p>
        </w:tc>
      </w:tr>
      <w:tr w:rsidR="00040912" w14:paraId="0D4817FB" w14:textId="77777777" w:rsidTr="000E5ACF">
        <w:tc>
          <w:tcPr>
            <w:tcW w:w="1017" w:type="dxa"/>
          </w:tcPr>
          <w:p w14:paraId="188A345F" w14:textId="77777777" w:rsidR="00040912" w:rsidRPr="00D62A04" w:rsidRDefault="00040912" w:rsidP="00B46023">
            <w:pPr>
              <w:rPr>
                <w:rStyle w:val="IntenseEmphasisBlue"/>
              </w:rPr>
            </w:pPr>
            <w:r w:rsidRPr="00D62A04">
              <w:rPr>
                <w:rStyle w:val="IntenseEmphasisBlue"/>
              </w:rPr>
              <w:t>From:</w:t>
            </w:r>
          </w:p>
        </w:tc>
        <w:tc>
          <w:tcPr>
            <w:tcW w:w="8343" w:type="dxa"/>
          </w:tcPr>
          <w:p w14:paraId="0907DA23" w14:textId="635C41C6" w:rsidR="00040912" w:rsidRPr="00701D8B" w:rsidRDefault="004E4C55" w:rsidP="00B46023">
            <w:r>
              <w:t xml:space="preserve">Shannon Prendergast and Melissa DeSantis, </w:t>
            </w:r>
            <w:r w:rsidR="00040912">
              <w:t>Tetra Tech</w:t>
            </w:r>
          </w:p>
        </w:tc>
      </w:tr>
      <w:tr w:rsidR="00040912" w14:paraId="7BA82781" w14:textId="77777777" w:rsidTr="000E5ACF">
        <w:tc>
          <w:tcPr>
            <w:tcW w:w="1017" w:type="dxa"/>
          </w:tcPr>
          <w:p w14:paraId="21CCB28E" w14:textId="77777777" w:rsidR="00040912" w:rsidRPr="00D62A04" w:rsidRDefault="00040912" w:rsidP="00B46023">
            <w:pPr>
              <w:rPr>
                <w:rStyle w:val="IntenseEmphasisBlue"/>
              </w:rPr>
            </w:pPr>
            <w:r w:rsidRPr="00D62A04">
              <w:rPr>
                <w:rStyle w:val="IntenseEmphasisBlue"/>
              </w:rPr>
              <w:t>Date:</w:t>
            </w:r>
          </w:p>
        </w:tc>
        <w:tc>
          <w:tcPr>
            <w:tcW w:w="8343" w:type="dxa"/>
          </w:tcPr>
          <w:p w14:paraId="44EAB82B" w14:textId="6544C85A" w:rsidR="00040912" w:rsidRPr="00701D8B" w:rsidRDefault="00F52EC1" w:rsidP="000E77F1">
            <w:r>
              <w:t xml:space="preserve">November </w:t>
            </w:r>
            <w:r w:rsidR="000E77F1">
              <w:t>22</w:t>
            </w:r>
            <w:r w:rsidR="00040912">
              <w:t>, 2016</w:t>
            </w:r>
          </w:p>
        </w:tc>
      </w:tr>
      <w:tr w:rsidR="00040912" w14:paraId="108507EF" w14:textId="77777777" w:rsidTr="000E5ACF">
        <w:tc>
          <w:tcPr>
            <w:tcW w:w="1017" w:type="dxa"/>
          </w:tcPr>
          <w:p w14:paraId="7D00708D" w14:textId="77777777" w:rsidR="00040912" w:rsidRPr="00D62A04" w:rsidRDefault="00040912" w:rsidP="00B46023">
            <w:pPr>
              <w:rPr>
                <w:rStyle w:val="IntenseEmphasisBlue"/>
              </w:rPr>
            </w:pPr>
            <w:r w:rsidRPr="00D62A04">
              <w:rPr>
                <w:rStyle w:val="IntenseEmphasisBlue"/>
              </w:rPr>
              <w:t>Subject:</w:t>
            </w:r>
          </w:p>
        </w:tc>
        <w:tc>
          <w:tcPr>
            <w:tcW w:w="8343" w:type="dxa"/>
          </w:tcPr>
          <w:p w14:paraId="14EAD89F" w14:textId="160EB50C" w:rsidR="00040912" w:rsidRPr="00701D8B" w:rsidRDefault="00040912" w:rsidP="00040912">
            <w:r>
              <w:t xml:space="preserve">Technical Memorandum on </w:t>
            </w:r>
            <w:r w:rsidRPr="00040912">
              <w:t>Literature Review Findings on the Effectiveness of Fish Consumption Advisory Communication</w:t>
            </w:r>
          </w:p>
        </w:tc>
      </w:tr>
    </w:tbl>
    <w:p w14:paraId="5A8E09D4" w14:textId="77777777" w:rsidR="00040912" w:rsidRDefault="00040912" w:rsidP="00040912"/>
    <w:p w14:paraId="5DD2706D" w14:textId="77777777" w:rsidR="00AC7B07" w:rsidRPr="00584097" w:rsidRDefault="00906761" w:rsidP="000E5ACF">
      <w:pPr>
        <w:pStyle w:val="Heading1"/>
        <w:numPr>
          <w:ilvl w:val="0"/>
          <w:numId w:val="8"/>
        </w:numPr>
        <w:tabs>
          <w:tab w:val="left" w:pos="360"/>
        </w:tabs>
        <w:ind w:left="0" w:firstLine="0"/>
      </w:pPr>
      <w:r w:rsidRPr="00584097">
        <w:t>Introduction</w:t>
      </w:r>
    </w:p>
    <w:p w14:paraId="74401E8B" w14:textId="4E4D9EF4" w:rsidR="00A27C42" w:rsidRDefault="00712847" w:rsidP="00906761">
      <w:r>
        <w:t xml:space="preserve">The 2014 Chesapeake Bay Watershed Agreement, which sets forth a </w:t>
      </w:r>
      <w:r w:rsidRPr="00712847">
        <w:t xml:space="preserve">plan for collaboration across the Bay’s political boundaries </w:t>
      </w:r>
      <w:r>
        <w:t>by establishing</w:t>
      </w:r>
      <w:r w:rsidRPr="00712847">
        <w:t xml:space="preserve"> goals and outcomes </w:t>
      </w:r>
      <w:r w:rsidR="00941604">
        <w:t xml:space="preserve">for </w:t>
      </w:r>
      <w:r w:rsidRPr="00712847">
        <w:t>Bay</w:t>
      </w:r>
      <w:r w:rsidR="007B640E">
        <w:t xml:space="preserve"> restoration</w:t>
      </w:r>
      <w:r>
        <w:t xml:space="preserve">, includes outcomes </w:t>
      </w:r>
      <w:r w:rsidR="007B640E">
        <w:t xml:space="preserve">that </w:t>
      </w:r>
      <w:r w:rsidR="00E70015">
        <w:t xml:space="preserve">recognize the need to improve the effectiveness of fish consumption advisories, particularly as they pertain to </w:t>
      </w:r>
      <w:r>
        <w:t xml:space="preserve">minority </w:t>
      </w:r>
      <w:r w:rsidR="00E70015">
        <w:t>watershed stakeholders and subsistence fish</w:t>
      </w:r>
      <w:r w:rsidR="007B640E">
        <w:t>ers</w:t>
      </w:r>
      <w:r>
        <w:t xml:space="preserve">. </w:t>
      </w:r>
      <w:r w:rsidR="00E70015">
        <w:t xml:space="preserve">The management strategies for </w:t>
      </w:r>
      <w:r w:rsidR="00DF6CBD">
        <w:t xml:space="preserve">three outcomes—Diversity Outcome, </w:t>
      </w:r>
      <w:r w:rsidR="00E70015">
        <w:t>T</w:t>
      </w:r>
      <w:r w:rsidR="00E70015" w:rsidRPr="00E70015">
        <w:t>oxic Cont</w:t>
      </w:r>
      <w:r w:rsidR="00E70015">
        <w:t>aminants Policy and Prevention</w:t>
      </w:r>
      <w:r w:rsidR="00DF6CBD">
        <w:t xml:space="preserve"> Outcome</w:t>
      </w:r>
      <w:r w:rsidR="00FD59A8">
        <w:t>,</w:t>
      </w:r>
      <w:r w:rsidR="00DF6CBD">
        <w:t xml:space="preserve"> and T</w:t>
      </w:r>
      <w:r w:rsidR="00DF6CBD" w:rsidRPr="00DF6CBD">
        <w:t>oxic Contaminants Research Outcome</w:t>
      </w:r>
      <w:r w:rsidR="00A27C42">
        <w:t>—</w:t>
      </w:r>
      <w:r w:rsidR="007B640E">
        <w:t xml:space="preserve">each </w:t>
      </w:r>
      <w:r w:rsidR="00E70015">
        <w:t xml:space="preserve">include discussions of this need. </w:t>
      </w:r>
      <w:r w:rsidR="00A27C42">
        <w:t>The Diversity Management Strategy and Action Plan specifically identif</w:t>
      </w:r>
      <w:r w:rsidR="00F432B5">
        <w:t>ies</w:t>
      </w:r>
      <w:r w:rsidR="00A27C42">
        <w:t xml:space="preserve"> the need to conduct advisory outreach to subsistence fishermen and communities of color through culturally appropriate signage and other materials using multiple distribution mechanisms. </w:t>
      </w:r>
      <w:r w:rsidR="00906761">
        <w:t>The</w:t>
      </w:r>
      <w:r w:rsidR="00E70015">
        <w:t xml:space="preserve"> T</w:t>
      </w:r>
      <w:r w:rsidR="00E70015" w:rsidRPr="00E70015">
        <w:t>oxic Cont</w:t>
      </w:r>
      <w:r w:rsidR="00E70015">
        <w:t xml:space="preserve">aminants Policy and Prevention </w:t>
      </w:r>
      <w:r w:rsidR="00A27C42">
        <w:t xml:space="preserve">Management </w:t>
      </w:r>
      <w:r w:rsidR="00E70015">
        <w:t>S</w:t>
      </w:r>
      <w:r w:rsidR="00906761">
        <w:t xml:space="preserve">trategy, which focuses mostly on </w:t>
      </w:r>
      <w:r w:rsidR="00E70015">
        <w:t>polychlorinated biphenyls (</w:t>
      </w:r>
      <w:r w:rsidR="00906761">
        <w:t>PCBs</w:t>
      </w:r>
      <w:r w:rsidR="00E70015">
        <w:t>)</w:t>
      </w:r>
      <w:r w:rsidR="00906761">
        <w:t xml:space="preserve">, includes </w:t>
      </w:r>
      <w:r w:rsidR="00E70015">
        <w:t xml:space="preserve">improvements in fish consumption advisory communication </w:t>
      </w:r>
      <w:r w:rsidR="00906761">
        <w:t xml:space="preserve">as a strategic element because it will be effective in building public awareness on the severity and extent of PCBs in the environment, which will translate to supporting legal and political action to reduce PCB inputs. </w:t>
      </w:r>
    </w:p>
    <w:p w14:paraId="64C60D61" w14:textId="3C839E27" w:rsidR="00906761" w:rsidRDefault="00A27C42" w:rsidP="00906761">
      <w:r>
        <w:t xml:space="preserve">To support these management strategies, Tetra Tech was contracted by the Chesapeake Bay Trust to conduct a literature review on fish consumption advisory effectiveness and, </w:t>
      </w:r>
      <w:r w:rsidR="00FD59A8">
        <w:t xml:space="preserve">on the </w:t>
      </w:r>
      <w:r>
        <w:t>bas</w:t>
      </w:r>
      <w:r w:rsidR="00FD59A8">
        <w:t>is of</w:t>
      </w:r>
      <w:r>
        <w:t xml:space="preserve"> on those findings, develop recommendations and tools to help Bay localities more effectively reach minorities, subsistence fishermen, and the families they support with the fish they catch.</w:t>
      </w:r>
    </w:p>
    <w:p w14:paraId="1CFC2153" w14:textId="3E74114A" w:rsidR="00B05F4A" w:rsidRDefault="009D6CEE" w:rsidP="000E5ACF">
      <w:pPr>
        <w:pStyle w:val="Heading1"/>
        <w:numPr>
          <w:ilvl w:val="0"/>
          <w:numId w:val="8"/>
        </w:numPr>
        <w:tabs>
          <w:tab w:val="left" w:pos="360"/>
        </w:tabs>
        <w:ind w:left="0" w:firstLine="0"/>
      </w:pPr>
      <w:r>
        <w:t xml:space="preserve">Methodology for </w:t>
      </w:r>
      <w:r w:rsidR="00B05F4A">
        <w:t>Literature Review</w:t>
      </w:r>
    </w:p>
    <w:p w14:paraId="0F9733E3" w14:textId="3883BE33" w:rsidR="00B05F4A" w:rsidRDefault="00B05F4A" w:rsidP="00B05F4A">
      <w:r>
        <w:t xml:space="preserve">Tetra Tech performed a literature review to collect and assess </w:t>
      </w:r>
      <w:r w:rsidR="009D6CEE">
        <w:t xml:space="preserve">available literature </w:t>
      </w:r>
      <w:r>
        <w:t xml:space="preserve">on the existing approaches to communicating fish consumption advisories, </w:t>
      </w:r>
      <w:r w:rsidR="006F75E5">
        <w:t xml:space="preserve">the </w:t>
      </w:r>
      <w:r>
        <w:t>effectiveness of the communication methods</w:t>
      </w:r>
      <w:r w:rsidR="006F75E5">
        <w:t xml:space="preserve"> used</w:t>
      </w:r>
      <w:r>
        <w:t xml:space="preserve">, and </w:t>
      </w:r>
      <w:r w:rsidR="006F75E5">
        <w:t xml:space="preserve">any </w:t>
      </w:r>
      <w:r>
        <w:t>recommendations for increasing awareness of and compliance with consumption advisories.</w:t>
      </w:r>
    </w:p>
    <w:p w14:paraId="5863562F" w14:textId="58669B9D" w:rsidR="00B05F4A" w:rsidRDefault="006F75E5">
      <w:r>
        <w:t>The first step involved gathering a</w:t>
      </w:r>
      <w:r w:rsidR="00B05F4A">
        <w:t xml:space="preserve"> list of specific </w:t>
      </w:r>
      <w:r>
        <w:t xml:space="preserve">known </w:t>
      </w:r>
      <w:r w:rsidR="00B05F4A">
        <w:t xml:space="preserve">articles and documents that were recommended </w:t>
      </w:r>
      <w:r w:rsidR="00A22986">
        <w:t xml:space="preserve">for review </w:t>
      </w:r>
      <w:r>
        <w:t xml:space="preserve">by members of the </w:t>
      </w:r>
      <w:r w:rsidR="00A22986">
        <w:t>Diversity Workgroup and the Toxics Contaminants Workgroup</w:t>
      </w:r>
      <w:r w:rsidR="00B05F4A">
        <w:t xml:space="preserve">, such as </w:t>
      </w:r>
      <w:r w:rsidR="00B05F4A" w:rsidRPr="00B05F4A">
        <w:rPr>
          <w:i/>
        </w:rPr>
        <w:t>A</w:t>
      </w:r>
      <w:r w:rsidR="00034F76">
        <w:rPr>
          <w:i/>
        </w:rPr>
        <w:t xml:space="preserve">ddressing the Risk: Understanding and Changing Anglers’ Attitudes about the Dangers of Consuming Anacostia River Fish </w:t>
      </w:r>
      <w:r w:rsidR="00034F76" w:rsidRPr="00034F76">
        <w:t>(referred to as the</w:t>
      </w:r>
      <w:r w:rsidR="00034F76">
        <w:rPr>
          <w:i/>
        </w:rPr>
        <w:t xml:space="preserve"> </w:t>
      </w:r>
      <w:r w:rsidR="00034F76" w:rsidRPr="00204974">
        <w:t>A</w:t>
      </w:r>
      <w:r w:rsidR="00B05F4A" w:rsidRPr="00204974">
        <w:t xml:space="preserve">nacostia </w:t>
      </w:r>
      <w:r w:rsidR="00204974" w:rsidRPr="00204974">
        <w:t>a</w:t>
      </w:r>
      <w:r w:rsidR="00B05F4A" w:rsidRPr="00204974">
        <w:t>nglers</w:t>
      </w:r>
      <w:r w:rsidR="00204974" w:rsidRPr="00204974">
        <w:t>’</w:t>
      </w:r>
      <w:r w:rsidR="00B05F4A" w:rsidRPr="00204974">
        <w:t xml:space="preserve"> </w:t>
      </w:r>
      <w:r w:rsidR="00204974" w:rsidRPr="00204974">
        <w:t>s</w:t>
      </w:r>
      <w:r w:rsidR="00B05F4A" w:rsidRPr="00204974">
        <w:t>tudy</w:t>
      </w:r>
      <w:r w:rsidR="00034F76">
        <w:t>)</w:t>
      </w:r>
      <w:r w:rsidR="00B05F4A">
        <w:t xml:space="preserve"> (OpinionWorks </w:t>
      </w:r>
      <w:r w:rsidR="004E4C55">
        <w:t>2012</w:t>
      </w:r>
      <w:r w:rsidR="00B05F4A">
        <w:t xml:space="preserve">) and </w:t>
      </w:r>
      <w:r w:rsidR="00B05F4A" w:rsidRPr="00B05F4A">
        <w:rPr>
          <w:i/>
        </w:rPr>
        <w:t>Consumption Advisories in Tributaries to the Chesapeake Bay</w:t>
      </w:r>
      <w:r w:rsidR="00B05F4A">
        <w:t xml:space="preserve"> (</w:t>
      </w:r>
      <w:r w:rsidR="001B17FE">
        <w:t xml:space="preserve">Gibson 2005). </w:t>
      </w:r>
      <w:r w:rsidR="00A22986">
        <w:t xml:space="preserve">Tetra Tech </w:t>
      </w:r>
      <w:r w:rsidR="00902914">
        <w:t xml:space="preserve">then </w:t>
      </w:r>
      <w:r w:rsidR="00A22986">
        <w:t xml:space="preserve">created a </w:t>
      </w:r>
      <w:r w:rsidR="001B17FE">
        <w:t xml:space="preserve">list of key words to </w:t>
      </w:r>
      <w:r w:rsidR="009D6CEE">
        <w:t xml:space="preserve">use when conducting online </w:t>
      </w:r>
      <w:r w:rsidR="001B17FE">
        <w:t>search</w:t>
      </w:r>
      <w:r w:rsidR="009D6CEE">
        <w:t>es</w:t>
      </w:r>
      <w:r w:rsidR="001B17FE">
        <w:t xml:space="preserve"> for </w:t>
      </w:r>
      <w:r w:rsidR="00A22986">
        <w:t xml:space="preserve">relevant </w:t>
      </w:r>
      <w:r w:rsidR="009D6CEE">
        <w:t>studies and reports.</w:t>
      </w:r>
      <w:r w:rsidR="001B17FE">
        <w:t xml:space="preserve"> These included, but were not limited to, the following (individually and in combination): </w:t>
      </w:r>
    </w:p>
    <w:p w14:paraId="75EE2ADA" w14:textId="77777777" w:rsidR="001B17FE" w:rsidRDefault="001B17FE" w:rsidP="001B17FE">
      <w:pPr>
        <w:pStyle w:val="ListParagraph"/>
        <w:numPr>
          <w:ilvl w:val="0"/>
          <w:numId w:val="1"/>
        </w:numPr>
      </w:pPr>
      <w:r>
        <w:lastRenderedPageBreak/>
        <w:t>Fish consumption</w:t>
      </w:r>
    </w:p>
    <w:p w14:paraId="4CEEEEF8" w14:textId="77777777" w:rsidR="001B17FE" w:rsidRDefault="001B17FE" w:rsidP="001B17FE">
      <w:pPr>
        <w:pStyle w:val="ListParagraph"/>
        <w:numPr>
          <w:ilvl w:val="0"/>
          <w:numId w:val="1"/>
        </w:numPr>
      </w:pPr>
      <w:r>
        <w:t>Fish consumption advisory</w:t>
      </w:r>
    </w:p>
    <w:p w14:paraId="05529104" w14:textId="77777777" w:rsidR="001B17FE" w:rsidRDefault="001B17FE" w:rsidP="001B17FE">
      <w:pPr>
        <w:pStyle w:val="ListParagraph"/>
        <w:numPr>
          <w:ilvl w:val="0"/>
          <w:numId w:val="1"/>
        </w:numPr>
      </w:pPr>
      <w:r>
        <w:t>Fish advisory</w:t>
      </w:r>
    </w:p>
    <w:p w14:paraId="4B91EFAA" w14:textId="77777777" w:rsidR="001B17FE" w:rsidRDefault="001B17FE" w:rsidP="001B17FE">
      <w:pPr>
        <w:pStyle w:val="ListParagraph"/>
        <w:numPr>
          <w:ilvl w:val="0"/>
          <w:numId w:val="1"/>
        </w:numPr>
      </w:pPr>
      <w:r>
        <w:t>Subsistence fishing</w:t>
      </w:r>
    </w:p>
    <w:p w14:paraId="38A422DA" w14:textId="77777777" w:rsidR="001B17FE" w:rsidRDefault="001B17FE" w:rsidP="001B17FE">
      <w:pPr>
        <w:pStyle w:val="ListParagraph"/>
        <w:numPr>
          <w:ilvl w:val="0"/>
          <w:numId w:val="1"/>
        </w:numPr>
      </w:pPr>
      <w:r>
        <w:t>Risk communication</w:t>
      </w:r>
    </w:p>
    <w:p w14:paraId="0BD9D3B9" w14:textId="77777777" w:rsidR="001B17FE" w:rsidRDefault="001B17FE" w:rsidP="001B17FE">
      <w:pPr>
        <w:pStyle w:val="ListParagraph"/>
        <w:numPr>
          <w:ilvl w:val="0"/>
          <w:numId w:val="1"/>
        </w:numPr>
      </w:pPr>
      <w:r>
        <w:t>Outreach methods</w:t>
      </w:r>
    </w:p>
    <w:p w14:paraId="3E9C2178" w14:textId="77777777" w:rsidR="001B17FE" w:rsidRDefault="001B17FE" w:rsidP="001B17FE">
      <w:pPr>
        <w:pStyle w:val="ListParagraph"/>
        <w:numPr>
          <w:ilvl w:val="0"/>
          <w:numId w:val="1"/>
        </w:numPr>
      </w:pPr>
      <w:r>
        <w:t>Angler’s study</w:t>
      </w:r>
    </w:p>
    <w:p w14:paraId="16155029" w14:textId="736CB7BD" w:rsidR="00F03F02" w:rsidRDefault="008073B8" w:rsidP="00F03F02">
      <w:r>
        <w:t xml:space="preserve">After </w:t>
      </w:r>
      <w:r w:rsidR="00902914">
        <w:t xml:space="preserve">collecting articles through an online search and </w:t>
      </w:r>
      <w:r>
        <w:t xml:space="preserve">reading each article’s abstract, the articles were sorted into </w:t>
      </w:r>
      <w:r w:rsidR="00472FFD">
        <w:t>five</w:t>
      </w:r>
      <w:r>
        <w:t xml:space="preserve"> groupings </w:t>
      </w:r>
      <w:r w:rsidR="00FD59A8">
        <w:t>according to</w:t>
      </w:r>
      <w:r>
        <w:t xml:space="preserve"> their relevance and availability. Priority 1</w:t>
      </w:r>
      <w:r w:rsidR="00472FFD">
        <w:t xml:space="preserve"> </w:t>
      </w:r>
      <w:r>
        <w:t xml:space="preserve">articles were flagged as </w:t>
      </w:r>
      <w:r w:rsidR="00472FFD">
        <w:t xml:space="preserve">the top six </w:t>
      </w:r>
      <w:r>
        <w:t xml:space="preserve">most relevant </w:t>
      </w:r>
      <w:r w:rsidR="00472FFD">
        <w:t>articles which were</w:t>
      </w:r>
      <w:r>
        <w:t xml:space="preserve"> easily obtainable online. Priority 2</w:t>
      </w:r>
      <w:r w:rsidR="00472FFD">
        <w:t xml:space="preserve"> articles were also relevant and easily obtainable online</w:t>
      </w:r>
      <w:r>
        <w:t>. Priorit</w:t>
      </w:r>
      <w:r w:rsidR="00472FFD">
        <w:t>y</w:t>
      </w:r>
      <w:r>
        <w:t xml:space="preserve"> 3</w:t>
      </w:r>
      <w:r w:rsidR="00472FFD">
        <w:t xml:space="preserve"> articles were</w:t>
      </w:r>
      <w:r w:rsidR="00472FFD" w:rsidRPr="00472FFD">
        <w:t xml:space="preserve"> relevant, but not easily available</w:t>
      </w:r>
      <w:r w:rsidR="00472FFD">
        <w:t xml:space="preserve"> and required additional effort to obtain</w:t>
      </w:r>
      <w:r w:rsidR="00472FFD" w:rsidRPr="00472FFD">
        <w:t xml:space="preserve">. </w:t>
      </w:r>
      <w:r w:rsidR="00472FFD">
        <w:t>Priority</w:t>
      </w:r>
      <w:r>
        <w:t xml:space="preserve"> 4</w:t>
      </w:r>
      <w:r w:rsidR="00472FFD">
        <w:t xml:space="preserve"> articles </w:t>
      </w:r>
      <w:r>
        <w:t>were</w:t>
      </w:r>
      <w:r w:rsidR="00472FFD">
        <w:t xml:space="preserve"> not relevant but were easily available</w:t>
      </w:r>
      <w:r w:rsidR="00D967C6">
        <w:t>.</w:t>
      </w:r>
      <w:r w:rsidR="00472FFD">
        <w:t xml:space="preserve"> </w:t>
      </w:r>
      <w:r w:rsidR="00D967C6">
        <w:t>P</w:t>
      </w:r>
      <w:r w:rsidR="00472FFD">
        <w:t>riority 5 articles were not relevant and were not easily obtainable</w:t>
      </w:r>
      <w:r>
        <w:t xml:space="preserve">. Tetra Tech then reviewed the six articles coded as Priority 1 in depth to serve as a starting point for determining what information to retrieve and analyze from each article. Tetra Tech </w:t>
      </w:r>
      <w:r w:rsidR="00F03F02">
        <w:t>created a spreadsheet to organize and store the details from each article and populated the spreadsheet with information from</w:t>
      </w:r>
      <w:r>
        <w:t xml:space="preserve"> th</w:t>
      </w:r>
      <w:r w:rsidR="00D967C6">
        <w:t>e</w:t>
      </w:r>
      <w:r>
        <w:t xml:space="preserve"> six Priority 1 </w:t>
      </w:r>
      <w:r w:rsidR="00F03F02">
        <w:t xml:space="preserve">articles. </w:t>
      </w:r>
    </w:p>
    <w:p w14:paraId="4AB0FB54" w14:textId="0E81B6D3" w:rsidR="00F03F02" w:rsidRDefault="00F03F02" w:rsidP="00F03F02">
      <w:r>
        <w:t xml:space="preserve">The following </w:t>
      </w:r>
      <w:r w:rsidR="00C80454">
        <w:t xml:space="preserve">key </w:t>
      </w:r>
      <w:r>
        <w:t xml:space="preserve">information </w:t>
      </w:r>
      <w:r w:rsidR="009D6CEE">
        <w:t xml:space="preserve">was </w:t>
      </w:r>
      <w:r>
        <w:t>documented in the spreadsheet for each article:</w:t>
      </w:r>
    </w:p>
    <w:p w14:paraId="02A69578" w14:textId="3A523584" w:rsidR="00F03F02" w:rsidRDefault="00F03F02" w:rsidP="00F03F02">
      <w:pPr>
        <w:pStyle w:val="ListParagraph"/>
        <w:numPr>
          <w:ilvl w:val="0"/>
          <w:numId w:val="2"/>
        </w:numPr>
      </w:pPr>
      <w:r>
        <w:t xml:space="preserve">Priority </w:t>
      </w:r>
      <w:r w:rsidR="00F8256F">
        <w:t xml:space="preserve">level </w:t>
      </w:r>
      <w:r>
        <w:t>(how relevant and accessible the article is)</w:t>
      </w:r>
    </w:p>
    <w:p w14:paraId="4BC0C8CD" w14:textId="77777777" w:rsidR="00F03F02" w:rsidRDefault="00F03F02" w:rsidP="00F03F02">
      <w:pPr>
        <w:pStyle w:val="ListParagraph"/>
        <w:numPr>
          <w:ilvl w:val="0"/>
          <w:numId w:val="2"/>
        </w:numPr>
      </w:pPr>
      <w:r>
        <w:t>Citation</w:t>
      </w:r>
    </w:p>
    <w:p w14:paraId="3DE440C2" w14:textId="77777777" w:rsidR="00F03F02" w:rsidRDefault="00F03F02" w:rsidP="00F03F02">
      <w:pPr>
        <w:pStyle w:val="ListParagraph"/>
        <w:numPr>
          <w:ilvl w:val="0"/>
          <w:numId w:val="2"/>
        </w:numPr>
      </w:pPr>
      <w:r>
        <w:t>Abstract</w:t>
      </w:r>
    </w:p>
    <w:p w14:paraId="78952C9D" w14:textId="26B065F3" w:rsidR="00F03F02" w:rsidRDefault="00F03F02" w:rsidP="00F03F02">
      <w:pPr>
        <w:pStyle w:val="ListParagraph"/>
        <w:numPr>
          <w:ilvl w:val="0"/>
          <w:numId w:val="2"/>
        </w:numPr>
      </w:pPr>
      <w:r>
        <w:t xml:space="preserve">Method used to assess </w:t>
      </w:r>
      <w:r w:rsidR="00472FFD">
        <w:t xml:space="preserve">fish </w:t>
      </w:r>
      <w:r>
        <w:t>consumption or awareness of advisories</w:t>
      </w:r>
    </w:p>
    <w:p w14:paraId="0DDD7095" w14:textId="77777777" w:rsidR="00F03F02" w:rsidRDefault="00F03F02" w:rsidP="00F03F02">
      <w:pPr>
        <w:pStyle w:val="ListParagraph"/>
        <w:numPr>
          <w:ilvl w:val="0"/>
          <w:numId w:val="2"/>
        </w:numPr>
      </w:pPr>
      <w:r>
        <w:t>Sample size</w:t>
      </w:r>
    </w:p>
    <w:p w14:paraId="0334CD30" w14:textId="77777777" w:rsidR="00F03F02" w:rsidRDefault="00F03F02" w:rsidP="00F03F02">
      <w:pPr>
        <w:pStyle w:val="ListParagraph"/>
        <w:numPr>
          <w:ilvl w:val="0"/>
          <w:numId w:val="2"/>
        </w:numPr>
      </w:pPr>
      <w:r>
        <w:t>Location of study</w:t>
      </w:r>
    </w:p>
    <w:p w14:paraId="1BB061BD" w14:textId="77777777" w:rsidR="00F03F02" w:rsidRDefault="00F03F02" w:rsidP="00F03F02">
      <w:pPr>
        <w:pStyle w:val="ListParagraph"/>
        <w:numPr>
          <w:ilvl w:val="0"/>
          <w:numId w:val="2"/>
        </w:numPr>
      </w:pPr>
      <w:r>
        <w:t>Urban, rural, or suburban area</w:t>
      </w:r>
    </w:p>
    <w:p w14:paraId="58A24516" w14:textId="4A1EEE03" w:rsidR="00F03F02" w:rsidRDefault="00F03F02" w:rsidP="00F03F02">
      <w:pPr>
        <w:pStyle w:val="ListParagraph"/>
        <w:numPr>
          <w:ilvl w:val="0"/>
          <w:numId w:val="2"/>
        </w:numPr>
      </w:pPr>
      <w:r>
        <w:t>Demographic information</w:t>
      </w:r>
      <w:r w:rsidR="00F8256F">
        <w:t xml:space="preserve"> (e.g., </w:t>
      </w:r>
      <w:r w:rsidR="00472FFD">
        <w:t xml:space="preserve">race, income, education, </w:t>
      </w:r>
      <w:r w:rsidR="00472FFD" w:rsidRPr="00180928">
        <w:t>etc.</w:t>
      </w:r>
      <w:r w:rsidR="00F8256F" w:rsidRPr="00180928">
        <w:t>)</w:t>
      </w:r>
    </w:p>
    <w:p w14:paraId="64413B06" w14:textId="5D400855" w:rsidR="00F03F02" w:rsidRDefault="00F03F02" w:rsidP="00F03F02">
      <w:pPr>
        <w:pStyle w:val="ListParagraph"/>
        <w:numPr>
          <w:ilvl w:val="0"/>
          <w:numId w:val="2"/>
        </w:numPr>
      </w:pPr>
      <w:r>
        <w:t xml:space="preserve">Communication method </w:t>
      </w:r>
      <w:r w:rsidR="00F8256F">
        <w:t xml:space="preserve">used </w:t>
      </w:r>
      <w:r>
        <w:t>for advisories (i.e., newspaper, TV, signs)</w:t>
      </w:r>
    </w:p>
    <w:p w14:paraId="358253CF" w14:textId="77777777" w:rsidR="00F03F02" w:rsidRDefault="00F03F02" w:rsidP="00F03F02">
      <w:pPr>
        <w:pStyle w:val="ListParagraph"/>
        <w:numPr>
          <w:ilvl w:val="0"/>
          <w:numId w:val="2"/>
        </w:numPr>
      </w:pPr>
      <w:r>
        <w:t>Whether advisories were found to be effective</w:t>
      </w:r>
    </w:p>
    <w:p w14:paraId="63D604FD" w14:textId="77777777" w:rsidR="00F03F02" w:rsidRDefault="00F03F02" w:rsidP="00F03F02">
      <w:pPr>
        <w:pStyle w:val="ListParagraph"/>
        <w:numPr>
          <w:ilvl w:val="0"/>
          <w:numId w:val="2"/>
        </w:numPr>
      </w:pPr>
      <w:r>
        <w:t>Conformance (or why advisories were ineffective)</w:t>
      </w:r>
    </w:p>
    <w:p w14:paraId="248A411E" w14:textId="77777777" w:rsidR="00F03F02" w:rsidRDefault="00F03F02" w:rsidP="00F03F02">
      <w:pPr>
        <w:pStyle w:val="ListParagraph"/>
        <w:numPr>
          <w:ilvl w:val="0"/>
          <w:numId w:val="2"/>
        </w:numPr>
      </w:pPr>
      <w:r>
        <w:t>Recommendations for improving communication methods</w:t>
      </w:r>
    </w:p>
    <w:p w14:paraId="17F17BB3" w14:textId="7A60268C" w:rsidR="00F03F02" w:rsidRDefault="008073B8" w:rsidP="00F03F02">
      <w:r>
        <w:t xml:space="preserve">A </w:t>
      </w:r>
      <w:r w:rsidR="00F03F02">
        <w:t xml:space="preserve">preliminary </w:t>
      </w:r>
      <w:r>
        <w:t xml:space="preserve">version of the </w:t>
      </w:r>
      <w:r w:rsidR="00F03F02">
        <w:t xml:space="preserve">spreadsheet </w:t>
      </w:r>
      <w:r>
        <w:t>was provided to lead</w:t>
      </w:r>
      <w:r w:rsidR="00DB0220">
        <w:t>ing</w:t>
      </w:r>
      <w:r>
        <w:t xml:space="preserve"> </w:t>
      </w:r>
      <w:r w:rsidR="006207EC">
        <w:t xml:space="preserve">members </w:t>
      </w:r>
      <w:r w:rsidR="00DB0220">
        <w:t>of</w:t>
      </w:r>
      <w:r>
        <w:t xml:space="preserve"> both the </w:t>
      </w:r>
      <w:r w:rsidR="006207EC">
        <w:t>T</w:t>
      </w:r>
      <w:r>
        <w:t xml:space="preserve">oxic Contaminants Workgroup and the Diversity Workgroup to gather feedback. </w:t>
      </w:r>
      <w:r w:rsidR="006207EC">
        <w:t xml:space="preserve">After review and comment, minor adjustments were made to the spreadsheet. Tetra Tech then </w:t>
      </w:r>
      <w:r w:rsidR="00F03F02">
        <w:t xml:space="preserve">continued reviewing the </w:t>
      </w:r>
      <w:r w:rsidR="006207EC">
        <w:t>remaining P</w:t>
      </w:r>
      <w:r w:rsidR="00F03F02">
        <w:t xml:space="preserve">riority 2 </w:t>
      </w:r>
      <w:r w:rsidR="00D44773">
        <w:t xml:space="preserve">articles as well as the Priority </w:t>
      </w:r>
      <w:r w:rsidR="00F03F02">
        <w:t>3 articles</w:t>
      </w:r>
      <w:r w:rsidR="00D44773">
        <w:t xml:space="preserve"> we </w:t>
      </w:r>
      <w:r w:rsidR="00D967C6">
        <w:t>could</w:t>
      </w:r>
      <w:r w:rsidR="00D44773">
        <w:t xml:space="preserve"> obtain. </w:t>
      </w:r>
      <w:r w:rsidR="00F03F02">
        <w:t>We then reviewed secondary sources and selected several of those to review in detail as well. We identified 31 documents in total</w:t>
      </w:r>
      <w:r w:rsidR="00D967C6">
        <w:t>;</w:t>
      </w:r>
      <w:r w:rsidR="00F03F02">
        <w:t xml:space="preserve"> we reviewed 2</w:t>
      </w:r>
      <w:r w:rsidR="0082684C">
        <w:t>3</w:t>
      </w:r>
      <w:r w:rsidR="00F03F02">
        <w:t xml:space="preserve"> of those in detail</w:t>
      </w:r>
      <w:r w:rsidR="00711154">
        <w:t xml:space="preserve">. The remaining </w:t>
      </w:r>
      <w:r w:rsidR="008F46B9">
        <w:t>eight</w:t>
      </w:r>
      <w:r w:rsidR="00711154">
        <w:t xml:space="preserve"> documents were either unobtainable or not relevant</w:t>
      </w:r>
      <w:r w:rsidR="00F03F02">
        <w:t xml:space="preserve">. </w:t>
      </w:r>
      <w:r w:rsidR="00C566FD">
        <w:t>Of those 23</w:t>
      </w:r>
      <w:r w:rsidR="00711154">
        <w:t xml:space="preserve"> reviewed</w:t>
      </w:r>
      <w:r w:rsidR="00C566FD">
        <w:t xml:space="preserve">, 21 were direct studies on fish consumption advisory awareness and/or effectiveness, while </w:t>
      </w:r>
      <w:r w:rsidR="008F46B9">
        <w:t>two</w:t>
      </w:r>
      <w:r w:rsidR="00C566FD">
        <w:t xml:space="preserve"> were literature review</w:t>
      </w:r>
      <w:r w:rsidR="00321F7E">
        <w:t xml:space="preserve"> summaries</w:t>
      </w:r>
      <w:r w:rsidR="00C566FD">
        <w:t>.</w:t>
      </w:r>
      <w:r w:rsidR="008B1A49">
        <w:t xml:space="preserve"> Table 1 lists the 23 articles that were reviewed. </w:t>
      </w:r>
      <w:r w:rsidR="00034F76">
        <w:t xml:space="preserve">The literature review was limited based on the project budget, and therefore this was not an exhaustive search of all the literature available. </w:t>
      </w:r>
    </w:p>
    <w:p w14:paraId="43FA401B" w14:textId="77777777" w:rsidR="00D967C6" w:rsidRDefault="00D967C6" w:rsidP="00F03F02"/>
    <w:p w14:paraId="774F8BB3" w14:textId="77777777" w:rsidR="008D52CD" w:rsidRDefault="008D52CD" w:rsidP="00F03F02"/>
    <w:tbl>
      <w:tblPr>
        <w:tblStyle w:val="TableGrid"/>
        <w:tblW w:w="0" w:type="auto"/>
        <w:tblLayout w:type="fixed"/>
        <w:tblLook w:val="04A0" w:firstRow="1" w:lastRow="0" w:firstColumn="1" w:lastColumn="0" w:noHBand="0" w:noVBand="1"/>
      </w:tblPr>
      <w:tblGrid>
        <w:gridCol w:w="1620"/>
        <w:gridCol w:w="769"/>
        <w:gridCol w:w="6961"/>
      </w:tblGrid>
      <w:tr w:rsidR="008B1A49" w:rsidRPr="008D52CD" w14:paraId="7AC58B97" w14:textId="77777777" w:rsidTr="000E5ACF">
        <w:tc>
          <w:tcPr>
            <w:tcW w:w="9350" w:type="dxa"/>
            <w:gridSpan w:val="3"/>
            <w:tcBorders>
              <w:top w:val="nil"/>
              <w:left w:val="nil"/>
              <w:bottom w:val="single" w:sz="4" w:space="0" w:color="auto"/>
              <w:right w:val="nil"/>
            </w:tcBorders>
          </w:tcPr>
          <w:p w14:paraId="00FCBC04" w14:textId="155288FD" w:rsidR="008B1A49" w:rsidRPr="00C80454" w:rsidRDefault="008B1A49">
            <w:pPr>
              <w:rPr>
                <w:b/>
              </w:rPr>
            </w:pPr>
            <w:r w:rsidRPr="00C80454">
              <w:rPr>
                <w:b/>
              </w:rPr>
              <w:t xml:space="preserve">Table 1. Articles </w:t>
            </w:r>
            <w:r w:rsidR="00FD1E6F">
              <w:rPr>
                <w:b/>
              </w:rPr>
              <w:t>i</w:t>
            </w:r>
            <w:r w:rsidRPr="00C80454">
              <w:rPr>
                <w:b/>
              </w:rPr>
              <w:t xml:space="preserve">ncluded in </w:t>
            </w:r>
            <w:r w:rsidR="00FD1E6F">
              <w:rPr>
                <w:b/>
              </w:rPr>
              <w:t>the l</w:t>
            </w:r>
            <w:r w:rsidRPr="00C80454">
              <w:rPr>
                <w:b/>
              </w:rPr>
              <w:t xml:space="preserve">iterature </w:t>
            </w:r>
            <w:r w:rsidR="00FD1E6F">
              <w:rPr>
                <w:b/>
              </w:rPr>
              <w:t>r</w:t>
            </w:r>
            <w:r w:rsidRPr="00C80454">
              <w:rPr>
                <w:b/>
              </w:rPr>
              <w:t>eview</w:t>
            </w:r>
          </w:p>
        </w:tc>
      </w:tr>
      <w:tr w:rsidR="008B1A49" w:rsidRPr="008D52CD" w14:paraId="448726FA" w14:textId="77777777" w:rsidTr="008D52CD">
        <w:tc>
          <w:tcPr>
            <w:tcW w:w="1620" w:type="dxa"/>
            <w:tcBorders>
              <w:top w:val="single" w:sz="4" w:space="0" w:color="auto"/>
            </w:tcBorders>
          </w:tcPr>
          <w:p w14:paraId="598ECDA2" w14:textId="6AFAEEEA" w:rsidR="008B1A49" w:rsidRPr="00C80454" w:rsidRDefault="00D44773" w:rsidP="00D44773">
            <w:pPr>
              <w:rPr>
                <w:b/>
                <w:sz w:val="21"/>
                <w:szCs w:val="21"/>
              </w:rPr>
            </w:pPr>
            <w:r w:rsidRPr="00C80454">
              <w:rPr>
                <w:b/>
                <w:sz w:val="21"/>
                <w:szCs w:val="21"/>
              </w:rPr>
              <w:t xml:space="preserve">Author </w:t>
            </w:r>
          </w:p>
        </w:tc>
        <w:tc>
          <w:tcPr>
            <w:tcW w:w="769" w:type="dxa"/>
            <w:tcBorders>
              <w:top w:val="single" w:sz="4" w:space="0" w:color="auto"/>
            </w:tcBorders>
          </w:tcPr>
          <w:p w14:paraId="5673A3E1" w14:textId="5CF981F1" w:rsidR="008B1A49" w:rsidRPr="00C80454" w:rsidRDefault="00D44773" w:rsidP="00F03F02">
            <w:pPr>
              <w:rPr>
                <w:b/>
                <w:sz w:val="21"/>
                <w:szCs w:val="21"/>
              </w:rPr>
            </w:pPr>
            <w:r w:rsidRPr="00C80454">
              <w:rPr>
                <w:b/>
                <w:sz w:val="21"/>
                <w:szCs w:val="21"/>
              </w:rPr>
              <w:t xml:space="preserve"> Date</w:t>
            </w:r>
          </w:p>
        </w:tc>
        <w:tc>
          <w:tcPr>
            <w:tcW w:w="6961" w:type="dxa"/>
            <w:tcBorders>
              <w:top w:val="single" w:sz="4" w:space="0" w:color="auto"/>
            </w:tcBorders>
          </w:tcPr>
          <w:p w14:paraId="2D62DB63" w14:textId="1A5E0ADC" w:rsidR="008B1A49" w:rsidRPr="00C80454" w:rsidRDefault="00D44773">
            <w:pPr>
              <w:rPr>
                <w:b/>
                <w:sz w:val="21"/>
                <w:szCs w:val="21"/>
              </w:rPr>
            </w:pPr>
            <w:r w:rsidRPr="00C80454">
              <w:rPr>
                <w:b/>
                <w:sz w:val="21"/>
                <w:szCs w:val="21"/>
              </w:rPr>
              <w:t xml:space="preserve">Article </w:t>
            </w:r>
            <w:r w:rsidR="00FD1E6F">
              <w:rPr>
                <w:b/>
                <w:sz w:val="21"/>
                <w:szCs w:val="21"/>
              </w:rPr>
              <w:t>t</w:t>
            </w:r>
            <w:r w:rsidRPr="00C80454">
              <w:rPr>
                <w:b/>
                <w:sz w:val="21"/>
                <w:szCs w:val="21"/>
              </w:rPr>
              <w:t>itle</w:t>
            </w:r>
          </w:p>
        </w:tc>
      </w:tr>
      <w:tr w:rsidR="00D44773" w:rsidRPr="008D52CD" w14:paraId="52AE373C" w14:textId="77777777" w:rsidTr="004E4C55">
        <w:tc>
          <w:tcPr>
            <w:tcW w:w="1620" w:type="dxa"/>
          </w:tcPr>
          <w:p w14:paraId="63A01FCA" w14:textId="6E354630" w:rsidR="00D44773" w:rsidRPr="00C80454" w:rsidRDefault="00D44773" w:rsidP="00D44773">
            <w:pPr>
              <w:rPr>
                <w:sz w:val="21"/>
                <w:szCs w:val="21"/>
              </w:rPr>
            </w:pPr>
            <w:r w:rsidRPr="00C80454">
              <w:rPr>
                <w:sz w:val="21"/>
                <w:szCs w:val="21"/>
              </w:rPr>
              <w:t xml:space="preserve">Beehler et al. </w:t>
            </w:r>
          </w:p>
        </w:tc>
        <w:tc>
          <w:tcPr>
            <w:tcW w:w="769" w:type="dxa"/>
          </w:tcPr>
          <w:p w14:paraId="10F07BDA" w14:textId="0CD2984D" w:rsidR="00D44773" w:rsidRPr="00C80454" w:rsidRDefault="00D44773" w:rsidP="00D44773">
            <w:pPr>
              <w:rPr>
                <w:sz w:val="21"/>
                <w:szCs w:val="21"/>
              </w:rPr>
            </w:pPr>
            <w:r w:rsidRPr="00C80454">
              <w:rPr>
                <w:sz w:val="21"/>
                <w:szCs w:val="21"/>
              </w:rPr>
              <w:t>2001</w:t>
            </w:r>
          </w:p>
        </w:tc>
        <w:tc>
          <w:tcPr>
            <w:tcW w:w="6961" w:type="dxa"/>
          </w:tcPr>
          <w:p w14:paraId="74CC0A26" w14:textId="06297501" w:rsidR="00D44773" w:rsidRPr="00C80454" w:rsidRDefault="00D44773" w:rsidP="00D44773">
            <w:pPr>
              <w:rPr>
                <w:sz w:val="21"/>
                <w:szCs w:val="21"/>
              </w:rPr>
            </w:pPr>
            <w:r w:rsidRPr="00C80454">
              <w:rPr>
                <w:sz w:val="21"/>
                <w:szCs w:val="21"/>
              </w:rPr>
              <w:t>Polluted Fish, Sources of Knowledge, and the Perception of Risk: Contextualizing African American Anglers' Sport Fishing Practices</w:t>
            </w:r>
          </w:p>
        </w:tc>
      </w:tr>
      <w:tr w:rsidR="004E4C55" w:rsidRPr="008D52CD" w14:paraId="26D324A6" w14:textId="77777777" w:rsidTr="004E4C55">
        <w:tc>
          <w:tcPr>
            <w:tcW w:w="1620" w:type="dxa"/>
          </w:tcPr>
          <w:p w14:paraId="257DDF40" w14:textId="71FB8CF5" w:rsidR="004E4C55" w:rsidRPr="00C80454" w:rsidRDefault="004E4C55" w:rsidP="004E4C55">
            <w:pPr>
              <w:rPr>
                <w:sz w:val="21"/>
                <w:szCs w:val="21"/>
              </w:rPr>
            </w:pPr>
            <w:r w:rsidRPr="00C80454">
              <w:rPr>
                <w:sz w:val="21"/>
                <w:szCs w:val="21"/>
              </w:rPr>
              <w:t xml:space="preserve">Beehler et al. </w:t>
            </w:r>
          </w:p>
        </w:tc>
        <w:tc>
          <w:tcPr>
            <w:tcW w:w="769" w:type="dxa"/>
          </w:tcPr>
          <w:p w14:paraId="68EA6CBE" w14:textId="6BAF624F" w:rsidR="004E4C55" w:rsidRPr="00C80454" w:rsidRDefault="004E4C55" w:rsidP="004E4C55">
            <w:pPr>
              <w:rPr>
                <w:sz w:val="21"/>
                <w:szCs w:val="21"/>
              </w:rPr>
            </w:pPr>
            <w:r w:rsidRPr="00C80454">
              <w:rPr>
                <w:sz w:val="21"/>
                <w:szCs w:val="21"/>
              </w:rPr>
              <w:t>2003</w:t>
            </w:r>
          </w:p>
        </w:tc>
        <w:tc>
          <w:tcPr>
            <w:tcW w:w="6961" w:type="dxa"/>
          </w:tcPr>
          <w:p w14:paraId="045AB4B5" w14:textId="4F7E81E0" w:rsidR="004E4C55" w:rsidRPr="00C80454" w:rsidRDefault="004E4C55" w:rsidP="004E4C55">
            <w:pPr>
              <w:rPr>
                <w:sz w:val="21"/>
                <w:szCs w:val="21"/>
              </w:rPr>
            </w:pPr>
            <w:r w:rsidRPr="00C80454">
              <w:rPr>
                <w:sz w:val="21"/>
                <w:szCs w:val="21"/>
              </w:rPr>
              <w:t>Characterizing Latino Anglers' Environmental Risk Perceptions, Sport Fish Consumption, and Advisory Awareness</w:t>
            </w:r>
          </w:p>
        </w:tc>
      </w:tr>
      <w:tr w:rsidR="004E4C55" w:rsidRPr="008D52CD" w14:paraId="036F97DA" w14:textId="77777777" w:rsidTr="004E4C55">
        <w:tc>
          <w:tcPr>
            <w:tcW w:w="1620" w:type="dxa"/>
          </w:tcPr>
          <w:p w14:paraId="1DD8DE0F" w14:textId="7F7A4F39" w:rsidR="004E4C55" w:rsidRPr="00C80454" w:rsidRDefault="004E4C55" w:rsidP="004E4C55">
            <w:pPr>
              <w:rPr>
                <w:sz w:val="21"/>
                <w:szCs w:val="21"/>
              </w:rPr>
            </w:pPr>
            <w:r w:rsidRPr="00C80454">
              <w:rPr>
                <w:rFonts w:ascii="Calibri" w:hAnsi="Calibri"/>
                <w:color w:val="222222"/>
                <w:sz w:val="21"/>
                <w:szCs w:val="21"/>
              </w:rPr>
              <w:t xml:space="preserve">Burger </w:t>
            </w:r>
          </w:p>
        </w:tc>
        <w:tc>
          <w:tcPr>
            <w:tcW w:w="769" w:type="dxa"/>
          </w:tcPr>
          <w:p w14:paraId="23CBB9E5" w14:textId="123E2FD3" w:rsidR="004E4C55" w:rsidRPr="00C80454" w:rsidRDefault="004E4C55" w:rsidP="004E4C55">
            <w:pPr>
              <w:rPr>
                <w:sz w:val="21"/>
                <w:szCs w:val="21"/>
              </w:rPr>
            </w:pPr>
            <w:r w:rsidRPr="00C80454">
              <w:rPr>
                <w:rFonts w:ascii="Calibri" w:hAnsi="Calibri"/>
                <w:color w:val="222222"/>
                <w:sz w:val="21"/>
                <w:szCs w:val="21"/>
              </w:rPr>
              <w:t>2004</w:t>
            </w:r>
          </w:p>
        </w:tc>
        <w:tc>
          <w:tcPr>
            <w:tcW w:w="6961" w:type="dxa"/>
          </w:tcPr>
          <w:p w14:paraId="59A754DD" w14:textId="76BD7DB4" w:rsidR="004E4C55" w:rsidRPr="00C80454" w:rsidRDefault="004E4C55" w:rsidP="004E4C55">
            <w:pPr>
              <w:rPr>
                <w:sz w:val="21"/>
                <w:szCs w:val="21"/>
              </w:rPr>
            </w:pPr>
            <w:r w:rsidRPr="00C80454">
              <w:rPr>
                <w:sz w:val="21"/>
                <w:szCs w:val="21"/>
              </w:rPr>
              <w:t>Fish Consumption Advisories: Knowledge, Compliance and Why People Fish in an Urban Estuary</w:t>
            </w:r>
          </w:p>
        </w:tc>
      </w:tr>
      <w:tr w:rsidR="004E4C55" w:rsidRPr="008D52CD" w14:paraId="02EF8950" w14:textId="77777777" w:rsidTr="004E4C55">
        <w:tc>
          <w:tcPr>
            <w:tcW w:w="1620" w:type="dxa"/>
          </w:tcPr>
          <w:p w14:paraId="610FB26F" w14:textId="5E8C4A3D" w:rsidR="004E4C55" w:rsidRPr="00C80454" w:rsidRDefault="004E4C55" w:rsidP="004E4C55">
            <w:pPr>
              <w:rPr>
                <w:sz w:val="21"/>
                <w:szCs w:val="21"/>
              </w:rPr>
            </w:pPr>
            <w:r w:rsidRPr="00C80454">
              <w:rPr>
                <w:rFonts w:ascii="Calibri" w:hAnsi="Calibri"/>
                <w:color w:val="222222"/>
                <w:sz w:val="21"/>
                <w:szCs w:val="21"/>
              </w:rPr>
              <w:t xml:space="preserve">Burger </w:t>
            </w:r>
          </w:p>
        </w:tc>
        <w:tc>
          <w:tcPr>
            <w:tcW w:w="769" w:type="dxa"/>
          </w:tcPr>
          <w:p w14:paraId="323D3021" w14:textId="4708FD12" w:rsidR="004E4C55" w:rsidRPr="00C80454" w:rsidRDefault="004E4C55" w:rsidP="004E4C55">
            <w:pPr>
              <w:rPr>
                <w:sz w:val="21"/>
                <w:szCs w:val="21"/>
              </w:rPr>
            </w:pPr>
            <w:r w:rsidRPr="00C80454">
              <w:rPr>
                <w:rFonts w:ascii="Calibri" w:hAnsi="Calibri"/>
                <w:color w:val="222222"/>
                <w:sz w:val="21"/>
                <w:szCs w:val="21"/>
              </w:rPr>
              <w:t>2005</w:t>
            </w:r>
          </w:p>
        </w:tc>
        <w:tc>
          <w:tcPr>
            <w:tcW w:w="6961" w:type="dxa"/>
          </w:tcPr>
          <w:p w14:paraId="706C39BA" w14:textId="3EE17F7E" w:rsidR="004E4C55" w:rsidRPr="00C80454" w:rsidRDefault="004E4C55" w:rsidP="004E4C55">
            <w:pPr>
              <w:rPr>
                <w:sz w:val="21"/>
                <w:szCs w:val="21"/>
              </w:rPr>
            </w:pPr>
            <w:r w:rsidRPr="00C80454">
              <w:rPr>
                <w:sz w:val="21"/>
                <w:szCs w:val="21"/>
              </w:rPr>
              <w:t>Fishing, Fish Consumption, and Knowledge about Advisories in College Students and Others in Central New Jersey</w:t>
            </w:r>
          </w:p>
        </w:tc>
      </w:tr>
      <w:tr w:rsidR="004E4C55" w:rsidRPr="008D52CD" w14:paraId="2C2DE915" w14:textId="77777777" w:rsidTr="004E4C55">
        <w:tc>
          <w:tcPr>
            <w:tcW w:w="1620" w:type="dxa"/>
          </w:tcPr>
          <w:p w14:paraId="0A72CF99" w14:textId="6BE4EA73" w:rsidR="004E4C55" w:rsidRPr="00C80454" w:rsidRDefault="004E4C55" w:rsidP="004E4C55">
            <w:pPr>
              <w:rPr>
                <w:sz w:val="21"/>
                <w:szCs w:val="21"/>
              </w:rPr>
            </w:pPr>
            <w:r w:rsidRPr="00C80454">
              <w:rPr>
                <w:rFonts w:ascii="Calibri" w:hAnsi="Calibri"/>
                <w:color w:val="000000"/>
                <w:sz w:val="21"/>
                <w:szCs w:val="21"/>
              </w:rPr>
              <w:t xml:space="preserve">Burger et al. </w:t>
            </w:r>
          </w:p>
        </w:tc>
        <w:tc>
          <w:tcPr>
            <w:tcW w:w="769" w:type="dxa"/>
          </w:tcPr>
          <w:p w14:paraId="7192C6CB" w14:textId="48032A46" w:rsidR="004E4C55" w:rsidRPr="00C80454" w:rsidRDefault="004E4C55" w:rsidP="004E4C55">
            <w:pPr>
              <w:rPr>
                <w:sz w:val="21"/>
                <w:szCs w:val="21"/>
              </w:rPr>
            </w:pPr>
            <w:r w:rsidRPr="00C80454">
              <w:rPr>
                <w:rFonts w:ascii="Calibri" w:hAnsi="Calibri"/>
                <w:color w:val="000000"/>
                <w:sz w:val="21"/>
                <w:szCs w:val="21"/>
              </w:rPr>
              <w:t>2001</w:t>
            </w:r>
          </w:p>
        </w:tc>
        <w:tc>
          <w:tcPr>
            <w:tcW w:w="6961" w:type="dxa"/>
          </w:tcPr>
          <w:p w14:paraId="26E14C03" w14:textId="3C7999DE" w:rsidR="004E4C55" w:rsidRPr="00C80454" w:rsidRDefault="004E4C55" w:rsidP="004E4C55">
            <w:pPr>
              <w:rPr>
                <w:sz w:val="21"/>
                <w:szCs w:val="21"/>
              </w:rPr>
            </w:pPr>
            <w:r w:rsidRPr="00C80454">
              <w:rPr>
                <w:sz w:val="21"/>
                <w:szCs w:val="21"/>
              </w:rPr>
              <w:t>Science, Policy, Stakeholders, and Fish Consumption Advisories: Developing a Fish Fact Sheet for the Savannah River</w:t>
            </w:r>
          </w:p>
        </w:tc>
      </w:tr>
      <w:tr w:rsidR="004E4C55" w:rsidRPr="008D52CD" w14:paraId="5655EC25" w14:textId="77777777" w:rsidTr="004E4C55">
        <w:tc>
          <w:tcPr>
            <w:tcW w:w="1620" w:type="dxa"/>
          </w:tcPr>
          <w:p w14:paraId="1C8BC99D" w14:textId="2010BCB5" w:rsidR="004E4C55" w:rsidRPr="00C80454" w:rsidRDefault="004E4C55" w:rsidP="004E4C55">
            <w:pPr>
              <w:rPr>
                <w:sz w:val="21"/>
                <w:szCs w:val="21"/>
              </w:rPr>
            </w:pPr>
            <w:r w:rsidRPr="00C80454">
              <w:rPr>
                <w:rFonts w:ascii="Calibri" w:hAnsi="Calibri"/>
                <w:color w:val="222222"/>
                <w:sz w:val="21"/>
                <w:szCs w:val="21"/>
              </w:rPr>
              <w:t xml:space="preserve">Chess et al. </w:t>
            </w:r>
          </w:p>
        </w:tc>
        <w:tc>
          <w:tcPr>
            <w:tcW w:w="769" w:type="dxa"/>
          </w:tcPr>
          <w:p w14:paraId="39C2510B" w14:textId="3D24242D" w:rsidR="004E4C55" w:rsidRPr="00C80454" w:rsidRDefault="004E4C55" w:rsidP="004E4C55">
            <w:pPr>
              <w:rPr>
                <w:sz w:val="21"/>
                <w:szCs w:val="21"/>
              </w:rPr>
            </w:pPr>
            <w:r w:rsidRPr="00C80454">
              <w:rPr>
                <w:rFonts w:ascii="Calibri" w:hAnsi="Calibri"/>
                <w:color w:val="222222"/>
                <w:sz w:val="21"/>
                <w:szCs w:val="21"/>
              </w:rPr>
              <w:t>2005</w:t>
            </w:r>
          </w:p>
        </w:tc>
        <w:tc>
          <w:tcPr>
            <w:tcW w:w="6961" w:type="dxa"/>
          </w:tcPr>
          <w:p w14:paraId="6EABF7FF" w14:textId="2E8CA392" w:rsidR="004E4C55" w:rsidRPr="00C80454" w:rsidRDefault="004E4C55" w:rsidP="004E4C55">
            <w:pPr>
              <w:rPr>
                <w:sz w:val="21"/>
                <w:szCs w:val="21"/>
              </w:rPr>
            </w:pPr>
            <w:r w:rsidRPr="00C80454">
              <w:rPr>
                <w:sz w:val="21"/>
                <w:szCs w:val="21"/>
              </w:rPr>
              <w:t>Speaking Like a State: Environmental Justice and Fish Consumption Advisories</w:t>
            </w:r>
          </w:p>
        </w:tc>
      </w:tr>
      <w:tr w:rsidR="004E4C55" w:rsidRPr="008D52CD" w14:paraId="04D8173F" w14:textId="77777777" w:rsidTr="004E4C55">
        <w:tc>
          <w:tcPr>
            <w:tcW w:w="1620" w:type="dxa"/>
          </w:tcPr>
          <w:p w14:paraId="0AB8A076" w14:textId="646BEDFB" w:rsidR="004E4C55" w:rsidRPr="00C80454" w:rsidRDefault="004E4C55" w:rsidP="004E4C55">
            <w:pPr>
              <w:rPr>
                <w:sz w:val="21"/>
                <w:szCs w:val="21"/>
              </w:rPr>
            </w:pPr>
            <w:r w:rsidRPr="00C80454">
              <w:rPr>
                <w:rFonts w:ascii="Calibri" w:hAnsi="Calibri"/>
                <w:color w:val="000000"/>
                <w:sz w:val="21"/>
                <w:szCs w:val="21"/>
              </w:rPr>
              <w:t xml:space="preserve">Connelly and Knuth </w:t>
            </w:r>
          </w:p>
        </w:tc>
        <w:tc>
          <w:tcPr>
            <w:tcW w:w="769" w:type="dxa"/>
          </w:tcPr>
          <w:p w14:paraId="67F09765" w14:textId="1B959D23" w:rsidR="004E4C55" w:rsidRPr="00C80454" w:rsidRDefault="004E4C55" w:rsidP="004E4C55">
            <w:pPr>
              <w:rPr>
                <w:sz w:val="21"/>
                <w:szCs w:val="21"/>
              </w:rPr>
            </w:pPr>
            <w:r w:rsidRPr="00C80454">
              <w:rPr>
                <w:rFonts w:ascii="Calibri" w:hAnsi="Calibri"/>
                <w:color w:val="000000"/>
                <w:sz w:val="21"/>
                <w:szCs w:val="21"/>
              </w:rPr>
              <w:t>1998</w:t>
            </w:r>
          </w:p>
        </w:tc>
        <w:tc>
          <w:tcPr>
            <w:tcW w:w="6961" w:type="dxa"/>
          </w:tcPr>
          <w:p w14:paraId="13ECF74E" w14:textId="55BA1138" w:rsidR="004E4C55" w:rsidRPr="00C80454" w:rsidRDefault="004E4C55" w:rsidP="004E4C55">
            <w:pPr>
              <w:rPr>
                <w:sz w:val="21"/>
                <w:szCs w:val="21"/>
              </w:rPr>
            </w:pPr>
            <w:r w:rsidRPr="00C80454">
              <w:rPr>
                <w:sz w:val="21"/>
                <w:szCs w:val="21"/>
              </w:rPr>
              <w:t>Evaluating Risk Communication: Examining Target Audience Perceptions About Four Presentation Formats for Fish Consumption Health Advisory Information</w:t>
            </w:r>
          </w:p>
        </w:tc>
      </w:tr>
      <w:tr w:rsidR="004E4C55" w:rsidRPr="008D52CD" w14:paraId="0BFDAB3D" w14:textId="77777777" w:rsidTr="004E4C55">
        <w:tc>
          <w:tcPr>
            <w:tcW w:w="1620" w:type="dxa"/>
          </w:tcPr>
          <w:p w14:paraId="2DB62E3E" w14:textId="5E337273" w:rsidR="004E4C55" w:rsidRPr="00C80454" w:rsidRDefault="004E4C55" w:rsidP="004E4C55">
            <w:pPr>
              <w:rPr>
                <w:sz w:val="21"/>
                <w:szCs w:val="21"/>
              </w:rPr>
            </w:pPr>
            <w:r w:rsidRPr="00C80454">
              <w:rPr>
                <w:rFonts w:ascii="Calibri" w:hAnsi="Calibri"/>
                <w:color w:val="222222"/>
                <w:sz w:val="21"/>
                <w:szCs w:val="21"/>
              </w:rPr>
              <w:t xml:space="preserve">Furgal et al. </w:t>
            </w:r>
          </w:p>
        </w:tc>
        <w:tc>
          <w:tcPr>
            <w:tcW w:w="769" w:type="dxa"/>
          </w:tcPr>
          <w:p w14:paraId="4118D604" w14:textId="76BA8F33" w:rsidR="004E4C55" w:rsidRPr="00C80454" w:rsidRDefault="004E4C55" w:rsidP="004E4C55">
            <w:pPr>
              <w:rPr>
                <w:sz w:val="21"/>
                <w:szCs w:val="21"/>
              </w:rPr>
            </w:pPr>
            <w:r w:rsidRPr="00C80454">
              <w:rPr>
                <w:rFonts w:ascii="Calibri" w:hAnsi="Calibri"/>
                <w:color w:val="222222"/>
                <w:sz w:val="21"/>
                <w:szCs w:val="21"/>
              </w:rPr>
              <w:t>2005</w:t>
            </w:r>
          </w:p>
        </w:tc>
        <w:tc>
          <w:tcPr>
            <w:tcW w:w="6961" w:type="dxa"/>
          </w:tcPr>
          <w:p w14:paraId="70D73AF5" w14:textId="24D34F33" w:rsidR="004E4C55" w:rsidRPr="00C80454" w:rsidRDefault="004E4C55" w:rsidP="00D967C6">
            <w:pPr>
              <w:rPr>
                <w:sz w:val="21"/>
                <w:szCs w:val="21"/>
              </w:rPr>
            </w:pPr>
            <w:r w:rsidRPr="00C80454">
              <w:rPr>
                <w:sz w:val="21"/>
                <w:szCs w:val="21"/>
              </w:rPr>
              <w:t xml:space="preserve">Digesting the Message about Contaminants and Country </w:t>
            </w:r>
            <w:r w:rsidR="00D967C6">
              <w:rPr>
                <w:sz w:val="21"/>
                <w:szCs w:val="21"/>
              </w:rPr>
              <w:t>F</w:t>
            </w:r>
            <w:r w:rsidRPr="00C80454">
              <w:rPr>
                <w:sz w:val="21"/>
                <w:szCs w:val="21"/>
              </w:rPr>
              <w:t>oods in the Canadian North: A Review and Recommendations for Future Research and Action</w:t>
            </w:r>
          </w:p>
        </w:tc>
      </w:tr>
      <w:tr w:rsidR="004E4C55" w:rsidRPr="008D52CD" w14:paraId="628252C2" w14:textId="77777777" w:rsidTr="004E4C55">
        <w:tc>
          <w:tcPr>
            <w:tcW w:w="1620" w:type="dxa"/>
          </w:tcPr>
          <w:p w14:paraId="6795B2A5" w14:textId="24926F57" w:rsidR="004E4C55" w:rsidRPr="00C80454" w:rsidRDefault="004E4C55" w:rsidP="004E4C55">
            <w:pPr>
              <w:rPr>
                <w:sz w:val="21"/>
                <w:szCs w:val="21"/>
              </w:rPr>
            </w:pPr>
            <w:r w:rsidRPr="00C80454">
              <w:rPr>
                <w:rFonts w:ascii="Calibri" w:hAnsi="Calibri"/>
                <w:color w:val="000000"/>
                <w:sz w:val="21"/>
                <w:szCs w:val="21"/>
              </w:rPr>
              <w:t>George et al.</w:t>
            </w:r>
          </w:p>
        </w:tc>
        <w:tc>
          <w:tcPr>
            <w:tcW w:w="769" w:type="dxa"/>
          </w:tcPr>
          <w:p w14:paraId="74F353CE" w14:textId="5A9AB2C3" w:rsidR="004E4C55" w:rsidRPr="00C80454" w:rsidRDefault="004E4C55" w:rsidP="004E4C55">
            <w:pPr>
              <w:rPr>
                <w:sz w:val="21"/>
                <w:szCs w:val="21"/>
              </w:rPr>
            </w:pPr>
            <w:r w:rsidRPr="00C80454">
              <w:rPr>
                <w:rFonts w:ascii="Calibri" w:hAnsi="Calibri"/>
                <w:color w:val="000000"/>
                <w:sz w:val="21"/>
                <w:szCs w:val="21"/>
              </w:rPr>
              <w:t>2010</w:t>
            </w:r>
          </w:p>
        </w:tc>
        <w:tc>
          <w:tcPr>
            <w:tcW w:w="6961" w:type="dxa"/>
          </w:tcPr>
          <w:p w14:paraId="35E30D4F" w14:textId="69EDC117" w:rsidR="004E4C55" w:rsidRPr="00C80454" w:rsidRDefault="004E4C55" w:rsidP="004E4C55">
            <w:pPr>
              <w:rPr>
                <w:sz w:val="21"/>
                <w:szCs w:val="21"/>
              </w:rPr>
            </w:pPr>
            <w:r w:rsidRPr="00C80454">
              <w:rPr>
                <w:sz w:val="21"/>
                <w:szCs w:val="21"/>
              </w:rPr>
              <w:t>Subsistence Consumption of Locally Caught Fish in Rochester, New York: 2009 Rapid Assessment Report</w:t>
            </w:r>
          </w:p>
        </w:tc>
      </w:tr>
      <w:tr w:rsidR="004E4C55" w:rsidRPr="008D52CD" w14:paraId="6997131A" w14:textId="77777777" w:rsidTr="004E4C55">
        <w:tc>
          <w:tcPr>
            <w:tcW w:w="1620" w:type="dxa"/>
          </w:tcPr>
          <w:p w14:paraId="0C833E31" w14:textId="6115891D" w:rsidR="004E4C55" w:rsidRPr="00C80454" w:rsidRDefault="004E4C55" w:rsidP="004E4C55">
            <w:pPr>
              <w:rPr>
                <w:sz w:val="21"/>
                <w:szCs w:val="21"/>
              </w:rPr>
            </w:pPr>
            <w:r w:rsidRPr="00C80454">
              <w:rPr>
                <w:rFonts w:ascii="Calibri" w:hAnsi="Calibri"/>
                <w:color w:val="222222"/>
                <w:sz w:val="21"/>
                <w:szCs w:val="21"/>
              </w:rPr>
              <w:t xml:space="preserve">Gibson </w:t>
            </w:r>
          </w:p>
        </w:tc>
        <w:tc>
          <w:tcPr>
            <w:tcW w:w="769" w:type="dxa"/>
          </w:tcPr>
          <w:p w14:paraId="21F58E35" w14:textId="1239FDBF" w:rsidR="004E4C55" w:rsidRPr="00C80454" w:rsidRDefault="004E4C55" w:rsidP="004E4C55">
            <w:pPr>
              <w:rPr>
                <w:sz w:val="21"/>
                <w:szCs w:val="21"/>
              </w:rPr>
            </w:pPr>
            <w:r w:rsidRPr="00C80454">
              <w:rPr>
                <w:rFonts w:ascii="Calibri" w:hAnsi="Calibri"/>
                <w:color w:val="222222"/>
                <w:sz w:val="21"/>
                <w:szCs w:val="21"/>
              </w:rPr>
              <w:t>2005</w:t>
            </w:r>
          </w:p>
        </w:tc>
        <w:tc>
          <w:tcPr>
            <w:tcW w:w="6961" w:type="dxa"/>
          </w:tcPr>
          <w:p w14:paraId="645D47C4" w14:textId="55C8448E" w:rsidR="004E4C55" w:rsidRPr="00C80454" w:rsidRDefault="004E4C55" w:rsidP="004E4C55">
            <w:pPr>
              <w:rPr>
                <w:sz w:val="21"/>
                <w:szCs w:val="21"/>
              </w:rPr>
            </w:pPr>
            <w:r w:rsidRPr="00C80454">
              <w:rPr>
                <w:sz w:val="21"/>
                <w:szCs w:val="21"/>
              </w:rPr>
              <w:t>Fish Consumption Advisories in Tributaries to the Chesapeake Bay</w:t>
            </w:r>
          </w:p>
        </w:tc>
      </w:tr>
      <w:tr w:rsidR="004E4C55" w:rsidRPr="008D52CD" w14:paraId="5561ACDA" w14:textId="77777777" w:rsidTr="004E4C55">
        <w:tc>
          <w:tcPr>
            <w:tcW w:w="1620" w:type="dxa"/>
          </w:tcPr>
          <w:p w14:paraId="5A6821D8" w14:textId="7EFACFF4" w:rsidR="004E4C55" w:rsidRPr="00C80454" w:rsidRDefault="004E4C55" w:rsidP="004E4C55">
            <w:pPr>
              <w:rPr>
                <w:sz w:val="21"/>
                <w:szCs w:val="21"/>
              </w:rPr>
            </w:pPr>
            <w:r w:rsidRPr="00C80454">
              <w:rPr>
                <w:rFonts w:ascii="Calibri" w:hAnsi="Calibri"/>
                <w:color w:val="000000"/>
                <w:sz w:val="21"/>
                <w:szCs w:val="21"/>
              </w:rPr>
              <w:t xml:space="preserve">Habron et al. </w:t>
            </w:r>
          </w:p>
        </w:tc>
        <w:tc>
          <w:tcPr>
            <w:tcW w:w="769" w:type="dxa"/>
          </w:tcPr>
          <w:p w14:paraId="67E74F61" w14:textId="7708B1B5" w:rsidR="004E4C55" w:rsidRPr="00C80454" w:rsidRDefault="004E4C55" w:rsidP="004E4C55">
            <w:pPr>
              <w:rPr>
                <w:sz w:val="21"/>
                <w:szCs w:val="21"/>
              </w:rPr>
            </w:pPr>
            <w:r w:rsidRPr="00C80454">
              <w:rPr>
                <w:rFonts w:ascii="Calibri" w:hAnsi="Calibri"/>
                <w:color w:val="000000"/>
                <w:sz w:val="21"/>
                <w:szCs w:val="21"/>
              </w:rPr>
              <w:t>2008</w:t>
            </w:r>
          </w:p>
        </w:tc>
        <w:tc>
          <w:tcPr>
            <w:tcW w:w="6961" w:type="dxa"/>
          </w:tcPr>
          <w:p w14:paraId="2FDD3C5E" w14:textId="23966684" w:rsidR="004E4C55" w:rsidRPr="00C80454" w:rsidRDefault="004E4C55" w:rsidP="004E4C55">
            <w:pPr>
              <w:rPr>
                <w:sz w:val="21"/>
                <w:szCs w:val="21"/>
              </w:rPr>
            </w:pPr>
            <w:r w:rsidRPr="00C80454">
              <w:rPr>
                <w:sz w:val="21"/>
                <w:szCs w:val="21"/>
              </w:rPr>
              <w:t>Local Understanding of Fish Consumption Advisory Risks in Michigan's Upper Peninsula: The Role of Structure, Culture, and Agency</w:t>
            </w:r>
          </w:p>
        </w:tc>
      </w:tr>
      <w:tr w:rsidR="004E4C55" w:rsidRPr="008D52CD" w14:paraId="4D1939B1" w14:textId="77777777" w:rsidTr="004E4C55">
        <w:tc>
          <w:tcPr>
            <w:tcW w:w="1620" w:type="dxa"/>
          </w:tcPr>
          <w:p w14:paraId="22F7A2B7" w14:textId="5BE78FDF" w:rsidR="004E4C55" w:rsidRPr="00C80454" w:rsidRDefault="004E4C55" w:rsidP="004E4C55">
            <w:pPr>
              <w:rPr>
                <w:sz w:val="21"/>
                <w:szCs w:val="21"/>
              </w:rPr>
            </w:pPr>
            <w:r w:rsidRPr="00C80454">
              <w:rPr>
                <w:rFonts w:ascii="Calibri" w:hAnsi="Calibri"/>
                <w:color w:val="000000"/>
                <w:sz w:val="21"/>
                <w:szCs w:val="21"/>
              </w:rPr>
              <w:t xml:space="preserve">Kalkirtz et al. </w:t>
            </w:r>
          </w:p>
        </w:tc>
        <w:tc>
          <w:tcPr>
            <w:tcW w:w="769" w:type="dxa"/>
          </w:tcPr>
          <w:p w14:paraId="1129FF21" w14:textId="5D874782" w:rsidR="004E4C55" w:rsidRPr="00C80454" w:rsidRDefault="004E4C55" w:rsidP="004E4C55">
            <w:pPr>
              <w:rPr>
                <w:sz w:val="21"/>
                <w:szCs w:val="21"/>
              </w:rPr>
            </w:pPr>
            <w:r w:rsidRPr="00C80454">
              <w:rPr>
                <w:rFonts w:ascii="Calibri" w:hAnsi="Calibri"/>
                <w:color w:val="000000"/>
                <w:sz w:val="21"/>
                <w:szCs w:val="21"/>
              </w:rPr>
              <w:t>2008</w:t>
            </w:r>
          </w:p>
        </w:tc>
        <w:tc>
          <w:tcPr>
            <w:tcW w:w="6961" w:type="dxa"/>
          </w:tcPr>
          <w:p w14:paraId="132D54C1" w14:textId="29CF3CD7" w:rsidR="004E4C55" w:rsidRPr="00C80454" w:rsidRDefault="004E4C55" w:rsidP="004E4C55">
            <w:pPr>
              <w:rPr>
                <w:sz w:val="21"/>
                <w:szCs w:val="21"/>
              </w:rPr>
            </w:pPr>
            <w:r w:rsidRPr="00C80454">
              <w:rPr>
                <w:sz w:val="21"/>
                <w:szCs w:val="21"/>
              </w:rPr>
              <w:t>Environmental Justice and Fish Consumption Advisories on the Detroit River Area of Concern</w:t>
            </w:r>
          </w:p>
        </w:tc>
      </w:tr>
      <w:tr w:rsidR="004E4C55" w:rsidRPr="008D52CD" w14:paraId="07C5E444" w14:textId="77777777" w:rsidTr="004E4C55">
        <w:tc>
          <w:tcPr>
            <w:tcW w:w="1620" w:type="dxa"/>
          </w:tcPr>
          <w:p w14:paraId="38E44BD5" w14:textId="0E5DCC31" w:rsidR="004E4C55" w:rsidRPr="00C80454" w:rsidRDefault="004E4C55" w:rsidP="004E4C55">
            <w:pPr>
              <w:rPr>
                <w:sz w:val="21"/>
                <w:szCs w:val="21"/>
              </w:rPr>
            </w:pPr>
            <w:r w:rsidRPr="00C80454">
              <w:rPr>
                <w:rFonts w:ascii="Calibri" w:hAnsi="Calibri"/>
                <w:color w:val="222222"/>
                <w:sz w:val="21"/>
                <w:szCs w:val="21"/>
              </w:rPr>
              <w:t xml:space="preserve">Katner et al. </w:t>
            </w:r>
          </w:p>
        </w:tc>
        <w:tc>
          <w:tcPr>
            <w:tcW w:w="769" w:type="dxa"/>
          </w:tcPr>
          <w:p w14:paraId="293DF0B3" w14:textId="3F6F1D3D" w:rsidR="004E4C55" w:rsidRPr="00C80454" w:rsidRDefault="004E4C55" w:rsidP="004E4C55">
            <w:pPr>
              <w:rPr>
                <w:sz w:val="21"/>
                <w:szCs w:val="21"/>
              </w:rPr>
            </w:pPr>
            <w:r w:rsidRPr="00C80454">
              <w:rPr>
                <w:rFonts w:ascii="Calibri" w:hAnsi="Calibri"/>
                <w:color w:val="222222"/>
                <w:sz w:val="21"/>
                <w:szCs w:val="21"/>
              </w:rPr>
              <w:t>2011</w:t>
            </w:r>
          </w:p>
        </w:tc>
        <w:tc>
          <w:tcPr>
            <w:tcW w:w="6961" w:type="dxa"/>
          </w:tcPr>
          <w:p w14:paraId="4847DBBE" w14:textId="24C171CC" w:rsidR="004E4C55" w:rsidRPr="00C80454" w:rsidRDefault="004E4C55" w:rsidP="004E4C55">
            <w:pPr>
              <w:rPr>
                <w:sz w:val="21"/>
                <w:szCs w:val="21"/>
              </w:rPr>
            </w:pPr>
            <w:r w:rsidRPr="00C80454">
              <w:rPr>
                <w:sz w:val="21"/>
                <w:szCs w:val="21"/>
              </w:rPr>
              <w:t>Fishing, Fish Consumption and Advisory Awareness among Louisiana’s Recreational Fishers</w:t>
            </w:r>
          </w:p>
        </w:tc>
      </w:tr>
      <w:tr w:rsidR="004E4C55" w:rsidRPr="008D52CD" w14:paraId="43548513" w14:textId="77777777" w:rsidTr="004E4C55">
        <w:tc>
          <w:tcPr>
            <w:tcW w:w="1620" w:type="dxa"/>
          </w:tcPr>
          <w:p w14:paraId="4CFC8AEE" w14:textId="2C376146" w:rsidR="004E4C55" w:rsidRPr="00C80454" w:rsidRDefault="004E4C55" w:rsidP="004E4C55">
            <w:pPr>
              <w:rPr>
                <w:sz w:val="21"/>
                <w:szCs w:val="21"/>
              </w:rPr>
            </w:pPr>
            <w:r w:rsidRPr="00C80454">
              <w:rPr>
                <w:rFonts w:ascii="Calibri" w:hAnsi="Calibri"/>
                <w:color w:val="222222"/>
                <w:sz w:val="21"/>
                <w:szCs w:val="21"/>
              </w:rPr>
              <w:t xml:space="preserve">Knobeloch et al. </w:t>
            </w:r>
          </w:p>
        </w:tc>
        <w:tc>
          <w:tcPr>
            <w:tcW w:w="769" w:type="dxa"/>
          </w:tcPr>
          <w:p w14:paraId="0F6AB79D" w14:textId="639B7CD0" w:rsidR="004E4C55" w:rsidRPr="00C80454" w:rsidRDefault="004E4C55" w:rsidP="004E4C55">
            <w:pPr>
              <w:rPr>
                <w:sz w:val="21"/>
                <w:szCs w:val="21"/>
              </w:rPr>
            </w:pPr>
            <w:r w:rsidRPr="00C80454">
              <w:rPr>
                <w:rFonts w:ascii="Calibri" w:hAnsi="Calibri"/>
                <w:color w:val="222222"/>
                <w:sz w:val="21"/>
                <w:szCs w:val="21"/>
              </w:rPr>
              <w:t>2005</w:t>
            </w:r>
          </w:p>
        </w:tc>
        <w:tc>
          <w:tcPr>
            <w:tcW w:w="6961" w:type="dxa"/>
          </w:tcPr>
          <w:p w14:paraId="0C12ABC6" w14:textId="70ADC146" w:rsidR="004E4C55" w:rsidRPr="00C80454" w:rsidRDefault="004E4C55" w:rsidP="004E4C55">
            <w:pPr>
              <w:rPr>
                <w:sz w:val="21"/>
                <w:szCs w:val="21"/>
              </w:rPr>
            </w:pPr>
            <w:r w:rsidRPr="00C80454">
              <w:rPr>
                <w:sz w:val="21"/>
                <w:szCs w:val="21"/>
              </w:rPr>
              <w:t>Fish Consumption, Advisory Awareness, and Hair Mercury Levels Among Women of Childbearing Age</w:t>
            </w:r>
          </w:p>
        </w:tc>
      </w:tr>
      <w:tr w:rsidR="004E4C55" w:rsidRPr="008D52CD" w14:paraId="6753C217" w14:textId="77777777" w:rsidTr="004E4C55">
        <w:tc>
          <w:tcPr>
            <w:tcW w:w="1620" w:type="dxa"/>
          </w:tcPr>
          <w:p w14:paraId="26163972" w14:textId="0BD67047" w:rsidR="004E4C55" w:rsidRPr="00C80454" w:rsidRDefault="004E4C55" w:rsidP="004E4C55">
            <w:pPr>
              <w:rPr>
                <w:sz w:val="21"/>
                <w:szCs w:val="21"/>
              </w:rPr>
            </w:pPr>
            <w:r w:rsidRPr="00C80454">
              <w:rPr>
                <w:rFonts w:ascii="Calibri" w:hAnsi="Calibri"/>
                <w:color w:val="222222"/>
                <w:sz w:val="21"/>
                <w:szCs w:val="21"/>
              </w:rPr>
              <w:t xml:space="preserve">Lauber et al. </w:t>
            </w:r>
          </w:p>
        </w:tc>
        <w:tc>
          <w:tcPr>
            <w:tcW w:w="769" w:type="dxa"/>
          </w:tcPr>
          <w:p w14:paraId="3DA69DF6" w14:textId="3C9DF97C" w:rsidR="004E4C55" w:rsidRPr="00C80454" w:rsidRDefault="004E4C55" w:rsidP="004E4C55">
            <w:pPr>
              <w:rPr>
                <w:sz w:val="21"/>
                <w:szCs w:val="21"/>
              </w:rPr>
            </w:pPr>
            <w:r w:rsidRPr="00C80454">
              <w:rPr>
                <w:rFonts w:ascii="Calibri" w:hAnsi="Calibri"/>
                <w:color w:val="222222"/>
                <w:sz w:val="21"/>
                <w:szCs w:val="21"/>
              </w:rPr>
              <w:t>2011</w:t>
            </w:r>
          </w:p>
        </w:tc>
        <w:tc>
          <w:tcPr>
            <w:tcW w:w="6961" w:type="dxa"/>
          </w:tcPr>
          <w:p w14:paraId="3C06AE26" w14:textId="1378CB8A" w:rsidR="004E4C55" w:rsidRPr="00C80454" w:rsidRDefault="004E4C55" w:rsidP="004E4C55">
            <w:pPr>
              <w:rPr>
                <w:sz w:val="21"/>
                <w:szCs w:val="21"/>
              </w:rPr>
            </w:pPr>
            <w:r w:rsidRPr="00C80454">
              <w:rPr>
                <w:sz w:val="21"/>
                <w:szCs w:val="21"/>
              </w:rPr>
              <w:t>Assessment of the Great Lakes States’ Fish Consumption Advisory Programs</w:t>
            </w:r>
          </w:p>
        </w:tc>
      </w:tr>
      <w:tr w:rsidR="004E4C55" w:rsidRPr="008D52CD" w14:paraId="2E6F087B" w14:textId="77777777" w:rsidTr="004E4C55">
        <w:tc>
          <w:tcPr>
            <w:tcW w:w="1620" w:type="dxa"/>
          </w:tcPr>
          <w:p w14:paraId="5583D59E" w14:textId="1C25172C" w:rsidR="004E4C55" w:rsidRPr="00C80454" w:rsidRDefault="004E4C55" w:rsidP="004E4C55">
            <w:pPr>
              <w:rPr>
                <w:sz w:val="21"/>
                <w:szCs w:val="21"/>
              </w:rPr>
            </w:pPr>
            <w:r w:rsidRPr="00C80454">
              <w:rPr>
                <w:rFonts w:ascii="Calibri" w:hAnsi="Calibri"/>
                <w:color w:val="000000"/>
                <w:sz w:val="21"/>
                <w:szCs w:val="21"/>
              </w:rPr>
              <w:t xml:space="preserve">LePrevost et al. </w:t>
            </w:r>
          </w:p>
        </w:tc>
        <w:tc>
          <w:tcPr>
            <w:tcW w:w="769" w:type="dxa"/>
          </w:tcPr>
          <w:p w14:paraId="3DA6F833" w14:textId="55F6A2A3" w:rsidR="004E4C55" w:rsidRPr="00C80454" w:rsidRDefault="004E4C55" w:rsidP="004E4C55">
            <w:pPr>
              <w:rPr>
                <w:sz w:val="21"/>
                <w:szCs w:val="21"/>
              </w:rPr>
            </w:pPr>
            <w:r w:rsidRPr="00C80454">
              <w:rPr>
                <w:rFonts w:ascii="Calibri" w:hAnsi="Calibri"/>
                <w:color w:val="000000"/>
                <w:sz w:val="21"/>
                <w:szCs w:val="21"/>
              </w:rPr>
              <w:t>2013</w:t>
            </w:r>
          </w:p>
        </w:tc>
        <w:tc>
          <w:tcPr>
            <w:tcW w:w="6961" w:type="dxa"/>
          </w:tcPr>
          <w:p w14:paraId="498C8249" w14:textId="71CA3522" w:rsidR="004E4C55" w:rsidRPr="00C80454" w:rsidRDefault="004E4C55" w:rsidP="004E4C55">
            <w:pPr>
              <w:rPr>
                <w:sz w:val="21"/>
                <w:szCs w:val="21"/>
              </w:rPr>
            </w:pPr>
            <w:r w:rsidRPr="00C80454">
              <w:rPr>
                <w:sz w:val="21"/>
                <w:szCs w:val="21"/>
              </w:rPr>
              <w:t>Need for Improved Risk Communication of Fish Consumption Advisories to Protect Maternal and Child Health: Influence of Primary Informants</w:t>
            </w:r>
          </w:p>
        </w:tc>
      </w:tr>
      <w:tr w:rsidR="004E4C55" w:rsidRPr="008D52CD" w14:paraId="791423AA" w14:textId="77777777" w:rsidTr="004E4C55">
        <w:tc>
          <w:tcPr>
            <w:tcW w:w="1620" w:type="dxa"/>
          </w:tcPr>
          <w:p w14:paraId="79C6272C" w14:textId="75654518" w:rsidR="004E4C55" w:rsidRPr="00C80454" w:rsidRDefault="004E4C55" w:rsidP="004E4C55">
            <w:pPr>
              <w:rPr>
                <w:sz w:val="21"/>
                <w:szCs w:val="21"/>
              </w:rPr>
            </w:pPr>
            <w:r w:rsidRPr="00C80454">
              <w:rPr>
                <w:rFonts w:ascii="Calibri" w:hAnsi="Calibri"/>
                <w:color w:val="222222"/>
                <w:sz w:val="21"/>
                <w:szCs w:val="21"/>
              </w:rPr>
              <w:t xml:space="preserve">May and Burger </w:t>
            </w:r>
          </w:p>
        </w:tc>
        <w:tc>
          <w:tcPr>
            <w:tcW w:w="769" w:type="dxa"/>
          </w:tcPr>
          <w:p w14:paraId="41D9CDE7" w14:textId="4918B1B7" w:rsidR="004E4C55" w:rsidRPr="00C80454" w:rsidRDefault="004E4C55" w:rsidP="004E4C55">
            <w:pPr>
              <w:rPr>
                <w:sz w:val="21"/>
                <w:szCs w:val="21"/>
              </w:rPr>
            </w:pPr>
            <w:r w:rsidRPr="00C80454">
              <w:rPr>
                <w:rFonts w:ascii="Calibri" w:hAnsi="Calibri"/>
                <w:color w:val="222222"/>
                <w:sz w:val="21"/>
                <w:szCs w:val="21"/>
              </w:rPr>
              <w:t>1996</w:t>
            </w:r>
          </w:p>
        </w:tc>
        <w:tc>
          <w:tcPr>
            <w:tcW w:w="6961" w:type="dxa"/>
          </w:tcPr>
          <w:p w14:paraId="5BBCE7C4" w14:textId="53668708" w:rsidR="004E4C55" w:rsidRPr="00C80454" w:rsidRDefault="004E4C55" w:rsidP="004E4C55">
            <w:pPr>
              <w:rPr>
                <w:sz w:val="21"/>
                <w:szCs w:val="21"/>
              </w:rPr>
            </w:pPr>
            <w:r w:rsidRPr="00C80454">
              <w:rPr>
                <w:sz w:val="21"/>
                <w:szCs w:val="21"/>
              </w:rPr>
              <w:t>Fishing in a Polluted Estuary: Fishing Behavior, Fish Consumption and Potential Risk.</w:t>
            </w:r>
          </w:p>
        </w:tc>
      </w:tr>
      <w:tr w:rsidR="004E4C55" w:rsidRPr="008D52CD" w14:paraId="0DC5D55C" w14:textId="77777777" w:rsidTr="004E4C55">
        <w:tc>
          <w:tcPr>
            <w:tcW w:w="1620" w:type="dxa"/>
          </w:tcPr>
          <w:p w14:paraId="008E9A22" w14:textId="7996F01A" w:rsidR="004E4C55" w:rsidRPr="00C80454" w:rsidRDefault="004E4C55" w:rsidP="004E4C55">
            <w:pPr>
              <w:rPr>
                <w:rFonts w:ascii="Calibri" w:hAnsi="Calibri"/>
                <w:color w:val="222222"/>
                <w:sz w:val="21"/>
                <w:szCs w:val="21"/>
              </w:rPr>
            </w:pPr>
            <w:r w:rsidRPr="00C80454">
              <w:rPr>
                <w:rFonts w:ascii="Calibri" w:hAnsi="Calibri"/>
                <w:color w:val="222222"/>
                <w:sz w:val="21"/>
                <w:szCs w:val="21"/>
              </w:rPr>
              <w:t xml:space="preserve">McDermott </w:t>
            </w:r>
          </w:p>
        </w:tc>
        <w:tc>
          <w:tcPr>
            <w:tcW w:w="769" w:type="dxa"/>
          </w:tcPr>
          <w:p w14:paraId="79BBB342" w14:textId="2E8612CD" w:rsidR="004E4C55" w:rsidRPr="00C80454" w:rsidRDefault="004E4C55" w:rsidP="004E4C55">
            <w:pPr>
              <w:rPr>
                <w:rFonts w:ascii="Calibri" w:hAnsi="Calibri"/>
                <w:color w:val="222222"/>
                <w:sz w:val="21"/>
                <w:szCs w:val="21"/>
              </w:rPr>
            </w:pPr>
            <w:r w:rsidRPr="00C80454">
              <w:rPr>
                <w:rFonts w:ascii="Calibri" w:hAnsi="Calibri"/>
                <w:color w:val="222222"/>
                <w:sz w:val="21"/>
                <w:szCs w:val="21"/>
              </w:rPr>
              <w:t>2003</w:t>
            </w:r>
          </w:p>
        </w:tc>
        <w:tc>
          <w:tcPr>
            <w:tcW w:w="6961" w:type="dxa"/>
          </w:tcPr>
          <w:p w14:paraId="30D8F1ED" w14:textId="5992109F" w:rsidR="004E4C55" w:rsidRPr="00C80454" w:rsidRDefault="004E4C55" w:rsidP="004E4C55">
            <w:pPr>
              <w:rPr>
                <w:sz w:val="21"/>
                <w:szCs w:val="21"/>
              </w:rPr>
            </w:pPr>
            <w:r w:rsidRPr="00C80454">
              <w:rPr>
                <w:sz w:val="21"/>
                <w:szCs w:val="21"/>
              </w:rPr>
              <w:t>Communicating a Complex Message t</w:t>
            </w:r>
            <w:r w:rsidR="00D967C6">
              <w:rPr>
                <w:sz w:val="21"/>
                <w:szCs w:val="21"/>
              </w:rPr>
              <w:t>o the Population Most at Risk: A</w:t>
            </w:r>
            <w:r w:rsidRPr="00C80454">
              <w:rPr>
                <w:sz w:val="21"/>
                <w:szCs w:val="21"/>
              </w:rPr>
              <w:t>n Outreach Strategy for Fish Consumption Advisories</w:t>
            </w:r>
          </w:p>
        </w:tc>
      </w:tr>
      <w:tr w:rsidR="004E4C55" w:rsidRPr="008D52CD" w14:paraId="209E026E" w14:textId="77777777" w:rsidTr="004E4C55">
        <w:tc>
          <w:tcPr>
            <w:tcW w:w="1620" w:type="dxa"/>
          </w:tcPr>
          <w:p w14:paraId="0BAAD09D" w14:textId="68D00276" w:rsidR="004E4C55" w:rsidRPr="00C80454" w:rsidRDefault="004E4C55" w:rsidP="004E4C55">
            <w:pPr>
              <w:rPr>
                <w:rFonts w:ascii="Calibri" w:hAnsi="Calibri"/>
                <w:color w:val="222222"/>
                <w:sz w:val="21"/>
                <w:szCs w:val="21"/>
              </w:rPr>
            </w:pPr>
            <w:r w:rsidRPr="00C80454">
              <w:rPr>
                <w:rFonts w:ascii="Calibri" w:hAnsi="Calibri"/>
                <w:color w:val="222222"/>
                <w:sz w:val="21"/>
                <w:szCs w:val="21"/>
              </w:rPr>
              <w:t xml:space="preserve">OpinionWorks </w:t>
            </w:r>
          </w:p>
        </w:tc>
        <w:tc>
          <w:tcPr>
            <w:tcW w:w="769" w:type="dxa"/>
          </w:tcPr>
          <w:p w14:paraId="3311C27F" w14:textId="53948D56" w:rsidR="004E4C55" w:rsidRPr="00C80454" w:rsidRDefault="00941604" w:rsidP="004E4C55">
            <w:pPr>
              <w:rPr>
                <w:rFonts w:ascii="Calibri" w:hAnsi="Calibri"/>
                <w:color w:val="222222"/>
                <w:sz w:val="21"/>
                <w:szCs w:val="21"/>
              </w:rPr>
            </w:pPr>
            <w:r>
              <w:rPr>
                <w:rFonts w:ascii="Calibri" w:hAnsi="Calibri"/>
                <w:color w:val="222222"/>
                <w:sz w:val="21"/>
                <w:szCs w:val="21"/>
              </w:rPr>
              <w:t>2012</w:t>
            </w:r>
          </w:p>
        </w:tc>
        <w:tc>
          <w:tcPr>
            <w:tcW w:w="6961" w:type="dxa"/>
          </w:tcPr>
          <w:p w14:paraId="4B5F4319" w14:textId="5AD8AD4B" w:rsidR="004E4C55" w:rsidRPr="00C80454" w:rsidRDefault="004E4C55" w:rsidP="004E4C55">
            <w:pPr>
              <w:rPr>
                <w:sz w:val="21"/>
                <w:szCs w:val="21"/>
              </w:rPr>
            </w:pPr>
            <w:r w:rsidRPr="00C80454">
              <w:rPr>
                <w:sz w:val="21"/>
                <w:szCs w:val="21"/>
              </w:rPr>
              <w:t>Addressing the Risk: Understanding and Changing Anglers' Attitudes about the Dangers of Consuming Anacostia River Fish</w:t>
            </w:r>
          </w:p>
        </w:tc>
      </w:tr>
      <w:tr w:rsidR="004E4C55" w:rsidRPr="008D52CD" w14:paraId="22D856E5" w14:textId="77777777" w:rsidTr="004E4C55">
        <w:tc>
          <w:tcPr>
            <w:tcW w:w="1620" w:type="dxa"/>
          </w:tcPr>
          <w:p w14:paraId="720E87C5" w14:textId="608A4D9B" w:rsidR="004E4C55" w:rsidRPr="00C80454" w:rsidRDefault="004E4C55" w:rsidP="004E4C55">
            <w:pPr>
              <w:rPr>
                <w:rFonts w:ascii="Calibri" w:hAnsi="Calibri"/>
                <w:color w:val="222222"/>
                <w:sz w:val="21"/>
                <w:szCs w:val="21"/>
              </w:rPr>
            </w:pPr>
            <w:r w:rsidRPr="00C80454">
              <w:rPr>
                <w:rFonts w:ascii="Calibri" w:hAnsi="Calibri"/>
                <w:color w:val="222222"/>
                <w:sz w:val="21"/>
                <w:szCs w:val="21"/>
              </w:rPr>
              <w:t xml:space="preserve">Pflugh et al. </w:t>
            </w:r>
          </w:p>
        </w:tc>
        <w:tc>
          <w:tcPr>
            <w:tcW w:w="769" w:type="dxa"/>
          </w:tcPr>
          <w:p w14:paraId="327B7FE9" w14:textId="34D018EA" w:rsidR="004E4C55" w:rsidRPr="00C80454" w:rsidRDefault="004E4C55" w:rsidP="004E4C55">
            <w:pPr>
              <w:rPr>
                <w:rFonts w:ascii="Calibri" w:hAnsi="Calibri"/>
                <w:color w:val="222222"/>
                <w:sz w:val="21"/>
                <w:szCs w:val="21"/>
              </w:rPr>
            </w:pPr>
            <w:r w:rsidRPr="00C80454">
              <w:rPr>
                <w:rFonts w:ascii="Calibri" w:hAnsi="Calibri"/>
                <w:color w:val="222222"/>
                <w:sz w:val="21"/>
                <w:szCs w:val="21"/>
              </w:rPr>
              <w:t>1999</w:t>
            </w:r>
          </w:p>
        </w:tc>
        <w:tc>
          <w:tcPr>
            <w:tcW w:w="6961" w:type="dxa"/>
          </w:tcPr>
          <w:p w14:paraId="46E6E47C" w14:textId="2E58882C" w:rsidR="004E4C55" w:rsidRPr="00C80454" w:rsidRDefault="004E4C55" w:rsidP="004E4C55">
            <w:pPr>
              <w:rPr>
                <w:sz w:val="21"/>
                <w:szCs w:val="21"/>
              </w:rPr>
            </w:pPr>
            <w:r w:rsidRPr="00C80454">
              <w:rPr>
                <w:sz w:val="21"/>
                <w:szCs w:val="21"/>
              </w:rPr>
              <w:t>Urban Anglers' Perception of Risk From Contaminated Fish</w:t>
            </w:r>
          </w:p>
        </w:tc>
      </w:tr>
      <w:tr w:rsidR="004E4C55" w:rsidRPr="008D52CD" w14:paraId="4D2A07A8" w14:textId="77777777" w:rsidTr="004E4C55">
        <w:tc>
          <w:tcPr>
            <w:tcW w:w="1620" w:type="dxa"/>
          </w:tcPr>
          <w:p w14:paraId="082B1180" w14:textId="607496BD" w:rsidR="004E4C55" w:rsidRPr="00C80454" w:rsidRDefault="004E4C55" w:rsidP="004E4C55">
            <w:pPr>
              <w:rPr>
                <w:rFonts w:ascii="Calibri" w:hAnsi="Calibri"/>
                <w:color w:val="222222"/>
                <w:sz w:val="21"/>
                <w:szCs w:val="21"/>
              </w:rPr>
            </w:pPr>
            <w:r w:rsidRPr="00C80454">
              <w:rPr>
                <w:rFonts w:ascii="Calibri" w:hAnsi="Calibri"/>
                <w:color w:val="222222"/>
                <w:sz w:val="21"/>
                <w:szCs w:val="21"/>
              </w:rPr>
              <w:t xml:space="preserve">Shubat et al. </w:t>
            </w:r>
          </w:p>
        </w:tc>
        <w:tc>
          <w:tcPr>
            <w:tcW w:w="769" w:type="dxa"/>
          </w:tcPr>
          <w:p w14:paraId="774B0934" w14:textId="73C7C146" w:rsidR="004E4C55" w:rsidRPr="00C80454" w:rsidRDefault="004E4C55" w:rsidP="004E4C55">
            <w:pPr>
              <w:rPr>
                <w:rFonts w:ascii="Calibri" w:hAnsi="Calibri"/>
                <w:color w:val="222222"/>
                <w:sz w:val="21"/>
                <w:szCs w:val="21"/>
              </w:rPr>
            </w:pPr>
            <w:r w:rsidRPr="00C80454">
              <w:rPr>
                <w:rFonts w:ascii="Calibri" w:hAnsi="Calibri"/>
                <w:color w:val="222222"/>
                <w:sz w:val="21"/>
                <w:szCs w:val="21"/>
              </w:rPr>
              <w:t>1996</w:t>
            </w:r>
          </w:p>
        </w:tc>
        <w:tc>
          <w:tcPr>
            <w:tcW w:w="6961" w:type="dxa"/>
          </w:tcPr>
          <w:p w14:paraId="14AD0874" w14:textId="514E9ADB" w:rsidR="004E4C55" w:rsidRPr="00C80454" w:rsidRDefault="004E4C55" w:rsidP="004E4C55">
            <w:pPr>
              <w:rPr>
                <w:sz w:val="21"/>
                <w:szCs w:val="21"/>
              </w:rPr>
            </w:pPr>
            <w:r w:rsidRPr="00C80454">
              <w:rPr>
                <w:sz w:val="21"/>
                <w:szCs w:val="21"/>
              </w:rPr>
              <w:t>Fish Consumption Advisories and Outreach Programs for Southeast Asian Immigrants</w:t>
            </w:r>
          </w:p>
        </w:tc>
      </w:tr>
      <w:tr w:rsidR="004E4C55" w:rsidRPr="008D52CD" w14:paraId="617361EC" w14:textId="77777777" w:rsidTr="004E4C55">
        <w:tc>
          <w:tcPr>
            <w:tcW w:w="1620" w:type="dxa"/>
          </w:tcPr>
          <w:p w14:paraId="1172E179" w14:textId="22807F4A" w:rsidR="004E4C55" w:rsidRPr="00C80454" w:rsidRDefault="004E4C55" w:rsidP="004E4C55">
            <w:pPr>
              <w:rPr>
                <w:rFonts w:ascii="Calibri" w:hAnsi="Calibri"/>
                <w:color w:val="222222"/>
                <w:sz w:val="21"/>
                <w:szCs w:val="21"/>
              </w:rPr>
            </w:pPr>
            <w:r w:rsidRPr="00C80454">
              <w:rPr>
                <w:rFonts w:ascii="Calibri" w:hAnsi="Calibri"/>
                <w:color w:val="222222"/>
                <w:sz w:val="21"/>
                <w:szCs w:val="21"/>
              </w:rPr>
              <w:t xml:space="preserve">Tilden et al. </w:t>
            </w:r>
          </w:p>
        </w:tc>
        <w:tc>
          <w:tcPr>
            <w:tcW w:w="769" w:type="dxa"/>
          </w:tcPr>
          <w:p w14:paraId="7F408C6F" w14:textId="36A00A95" w:rsidR="004E4C55" w:rsidRPr="00C80454" w:rsidRDefault="004E4C55" w:rsidP="004E4C55">
            <w:pPr>
              <w:rPr>
                <w:rFonts w:ascii="Calibri" w:hAnsi="Calibri"/>
                <w:color w:val="222222"/>
                <w:sz w:val="21"/>
                <w:szCs w:val="21"/>
              </w:rPr>
            </w:pPr>
            <w:r w:rsidRPr="00C80454">
              <w:rPr>
                <w:rFonts w:ascii="Calibri" w:hAnsi="Calibri"/>
                <w:color w:val="222222"/>
                <w:sz w:val="21"/>
                <w:szCs w:val="21"/>
              </w:rPr>
              <w:t>1997</w:t>
            </w:r>
          </w:p>
        </w:tc>
        <w:tc>
          <w:tcPr>
            <w:tcW w:w="6961" w:type="dxa"/>
          </w:tcPr>
          <w:p w14:paraId="6A588857" w14:textId="34C2C1A8" w:rsidR="004E4C55" w:rsidRPr="00C80454" w:rsidRDefault="004E4C55" w:rsidP="004E4C55">
            <w:pPr>
              <w:rPr>
                <w:sz w:val="21"/>
                <w:szCs w:val="21"/>
              </w:rPr>
            </w:pPr>
            <w:r w:rsidRPr="00C80454">
              <w:rPr>
                <w:sz w:val="21"/>
                <w:szCs w:val="21"/>
              </w:rPr>
              <w:t>Health Advisories for Consumers of Great Lakes Sport Fish: Is the Message Being Received?</w:t>
            </w:r>
          </w:p>
        </w:tc>
      </w:tr>
      <w:tr w:rsidR="004E4C55" w:rsidRPr="008D52CD" w14:paraId="7F66C06F" w14:textId="77777777" w:rsidTr="004E4C55">
        <w:tc>
          <w:tcPr>
            <w:tcW w:w="1620" w:type="dxa"/>
          </w:tcPr>
          <w:p w14:paraId="5E0C30B0" w14:textId="23F15C16" w:rsidR="004E4C55" w:rsidRPr="00C80454" w:rsidRDefault="004E4C55" w:rsidP="004E4C55">
            <w:pPr>
              <w:rPr>
                <w:rFonts w:ascii="Calibri" w:hAnsi="Calibri"/>
                <w:color w:val="222222"/>
                <w:sz w:val="21"/>
                <w:szCs w:val="21"/>
              </w:rPr>
            </w:pPr>
            <w:r w:rsidRPr="00C80454">
              <w:rPr>
                <w:rFonts w:ascii="Calibri" w:hAnsi="Calibri"/>
                <w:color w:val="222222"/>
                <w:sz w:val="21"/>
                <w:szCs w:val="21"/>
              </w:rPr>
              <w:t xml:space="preserve">Westphal et al. </w:t>
            </w:r>
          </w:p>
        </w:tc>
        <w:tc>
          <w:tcPr>
            <w:tcW w:w="769" w:type="dxa"/>
          </w:tcPr>
          <w:p w14:paraId="14B4B279" w14:textId="7D6671E9" w:rsidR="004E4C55" w:rsidRPr="00C80454" w:rsidRDefault="004E4C55" w:rsidP="004E4C55">
            <w:pPr>
              <w:rPr>
                <w:rFonts w:ascii="Calibri" w:hAnsi="Calibri"/>
                <w:color w:val="222222"/>
                <w:sz w:val="21"/>
                <w:szCs w:val="21"/>
              </w:rPr>
            </w:pPr>
            <w:r w:rsidRPr="00C80454">
              <w:rPr>
                <w:rFonts w:ascii="Calibri" w:hAnsi="Calibri"/>
                <w:color w:val="222222"/>
                <w:sz w:val="21"/>
                <w:szCs w:val="21"/>
              </w:rPr>
              <w:t>2008</w:t>
            </w:r>
          </w:p>
        </w:tc>
        <w:tc>
          <w:tcPr>
            <w:tcW w:w="6961" w:type="dxa"/>
          </w:tcPr>
          <w:p w14:paraId="732F79F6" w14:textId="5E2CE124" w:rsidR="004E4C55" w:rsidRPr="00C80454" w:rsidRDefault="004E4C55" w:rsidP="004E4C55">
            <w:pPr>
              <w:rPr>
                <w:sz w:val="21"/>
                <w:szCs w:val="21"/>
              </w:rPr>
            </w:pPr>
            <w:r w:rsidRPr="00C80454">
              <w:rPr>
                <w:sz w:val="21"/>
                <w:szCs w:val="21"/>
              </w:rPr>
              <w:t>Anglers' Appraisals of the Risks of Eating Sport-Caught Fish from Industrial Areas: Lessons from Chicago's Calumet Region</w:t>
            </w:r>
          </w:p>
        </w:tc>
      </w:tr>
    </w:tbl>
    <w:p w14:paraId="26233B93" w14:textId="4BE0E354" w:rsidR="00C1549A" w:rsidRDefault="00865AC2" w:rsidP="008D52CD">
      <w:pPr>
        <w:pStyle w:val="Heading1"/>
        <w:numPr>
          <w:ilvl w:val="0"/>
          <w:numId w:val="8"/>
        </w:numPr>
        <w:ind w:left="360"/>
      </w:pPr>
      <w:r>
        <w:lastRenderedPageBreak/>
        <w:t>Summary of Findings</w:t>
      </w:r>
    </w:p>
    <w:p w14:paraId="1A804D4E" w14:textId="1F1A92C0" w:rsidR="00BF77CB" w:rsidRDefault="00BF77CB" w:rsidP="008D52CD">
      <w:pPr>
        <w:keepNext/>
        <w:keepLines/>
      </w:pPr>
      <w:r>
        <w:t xml:space="preserve">This section includes a summary of the </w:t>
      </w:r>
      <w:r w:rsidR="00865AC2">
        <w:t xml:space="preserve">overall findings across the 23 </w:t>
      </w:r>
      <w:r>
        <w:t>articles reviewed.</w:t>
      </w:r>
      <w:r w:rsidR="00E20795">
        <w:t xml:space="preserve"> </w:t>
      </w:r>
      <w:r w:rsidR="00865AC2">
        <w:t xml:space="preserve">Most of the studies covered in the articles included primary research (e.g., surveys, focus groups, interviews) to determine the target audience’s awareness and understanding </w:t>
      </w:r>
      <w:r w:rsidR="00A0464A">
        <w:t xml:space="preserve">of existing </w:t>
      </w:r>
      <w:r w:rsidR="00865AC2">
        <w:t xml:space="preserve">advisory messaging, as well </w:t>
      </w:r>
      <w:r w:rsidR="00A0464A">
        <w:t>as how that</w:t>
      </w:r>
      <w:r w:rsidR="00865AC2">
        <w:t xml:space="preserve"> awareness and understanding </w:t>
      </w:r>
      <w:r w:rsidR="00A0464A">
        <w:t xml:space="preserve">has </w:t>
      </w:r>
      <w:r w:rsidR="00865AC2">
        <w:t xml:space="preserve">affected </w:t>
      </w:r>
      <w:r w:rsidR="008D52CD">
        <w:t xml:space="preserve">their </w:t>
      </w:r>
      <w:r w:rsidR="00865AC2">
        <w:t>fish consumption behavior</w:t>
      </w:r>
      <w:r w:rsidR="008D52CD">
        <w:t>s</w:t>
      </w:r>
      <w:r w:rsidR="00865AC2">
        <w:t xml:space="preserve">. </w:t>
      </w:r>
    </w:p>
    <w:p w14:paraId="432FD4AA" w14:textId="4CCD904C" w:rsidR="00A0464A" w:rsidRPr="003350B2" w:rsidRDefault="00A0464A" w:rsidP="003350B2">
      <w:pPr>
        <w:pStyle w:val="Heading2"/>
      </w:pPr>
      <w:r w:rsidRPr="003350B2">
        <w:t>Location and Demographic Focus of Studies</w:t>
      </w:r>
    </w:p>
    <w:p w14:paraId="2B94B234" w14:textId="1943C844" w:rsidR="00941604" w:rsidRDefault="00865AC2" w:rsidP="00941604">
      <w:r>
        <w:t xml:space="preserve">Only two of the studies </w:t>
      </w:r>
      <w:r w:rsidR="00203D55">
        <w:t xml:space="preserve">reviewed </w:t>
      </w:r>
      <w:r>
        <w:t xml:space="preserve">focused on populations within </w:t>
      </w:r>
      <w:r w:rsidR="00902914">
        <w:t xml:space="preserve">the </w:t>
      </w:r>
      <w:r>
        <w:t>Chesapeake Bay Watershed (</w:t>
      </w:r>
      <w:r w:rsidR="0010258C">
        <w:t>OpinionWorks 2012 and Gibson 2005</w:t>
      </w:r>
      <w:r>
        <w:t>)</w:t>
      </w:r>
      <w:r w:rsidR="00203D55">
        <w:t xml:space="preserve"> (Table 2)</w:t>
      </w:r>
      <w:r>
        <w:t xml:space="preserve">. </w:t>
      </w:r>
      <w:r w:rsidR="004E4C55">
        <w:t>OpinionWorks (2012) used a large</w:t>
      </w:r>
      <w:r w:rsidR="004E4C55" w:rsidRPr="00B57E1A">
        <w:t xml:space="preserve"> set of field interviews </w:t>
      </w:r>
      <w:r w:rsidR="004E4C55">
        <w:t xml:space="preserve">of anglers </w:t>
      </w:r>
      <w:r w:rsidR="004E4C55" w:rsidRPr="00B57E1A">
        <w:t xml:space="preserve">conducted at </w:t>
      </w:r>
      <w:r w:rsidR="00F864A5">
        <w:t>10</w:t>
      </w:r>
      <w:r w:rsidR="004E4C55" w:rsidRPr="00B57E1A">
        <w:t xml:space="preserve"> sites along the riverbank to measure the characteristics, practices, and attitudes of the fishing population</w:t>
      </w:r>
      <w:r w:rsidR="004E4C55">
        <w:t xml:space="preserve">. They also performed </w:t>
      </w:r>
      <w:r w:rsidR="004E4C55" w:rsidRPr="00B57E1A">
        <w:t>focus group</w:t>
      </w:r>
      <w:r w:rsidR="004E4C55">
        <w:t>s</w:t>
      </w:r>
      <w:r w:rsidR="004E4C55" w:rsidRPr="00B57E1A">
        <w:t xml:space="preserve"> and one-on-one interviews</w:t>
      </w:r>
      <w:r w:rsidR="004E4C55">
        <w:t xml:space="preserve"> </w:t>
      </w:r>
      <w:r w:rsidR="004E4C55" w:rsidRPr="00B57E1A">
        <w:t>and a household survey of the neighborhoods surrounding the lower Anacostia River.</w:t>
      </w:r>
      <w:r w:rsidR="004E4C55">
        <w:t xml:space="preserve"> The majority of participants were minorities and had no </w:t>
      </w:r>
      <w:r w:rsidR="00F864A5">
        <w:t>more</w:t>
      </w:r>
      <w:r w:rsidR="004E4C55">
        <w:t xml:space="preserve"> than a high school education. The study showed that advisory information is not reaching most anglers in this area. The anglers believe contamination is on the outside of the fish</w:t>
      </w:r>
      <w:r w:rsidR="00F864A5">
        <w:t>; therefore, they</w:t>
      </w:r>
      <w:r w:rsidR="004E4C55">
        <w:t xml:space="preserve"> rely on visual or tactile inspection. They also believe an illness would </w:t>
      </w:r>
      <w:r w:rsidR="00941604">
        <w:t xml:space="preserve">occur </w:t>
      </w:r>
      <w:r w:rsidR="004E4C55">
        <w:t>immediate</w:t>
      </w:r>
      <w:r w:rsidR="00941604">
        <w:t>ly after consumption of the fish</w:t>
      </w:r>
      <w:r w:rsidR="004E4C55">
        <w:t xml:space="preserve">. Many of these anglers share fish, even if they know it’s contaminated, with those who are hungry and need it for food. </w:t>
      </w:r>
      <w:r w:rsidR="00C80454">
        <w:t>Recommendations</w:t>
      </w:r>
      <w:r w:rsidR="004E4C55">
        <w:t xml:space="preserve"> for improving advisory outreach methods include </w:t>
      </w:r>
      <w:r w:rsidR="005664E5">
        <w:t>using strong an</w:t>
      </w:r>
      <w:r w:rsidR="002F000A">
        <w:t>d direct language and striking and meaningful visual images, and reaching out to anglers during social events. More details on recommendations are provided later on in this document.</w:t>
      </w:r>
    </w:p>
    <w:p w14:paraId="3285623F" w14:textId="77777777" w:rsidR="00941604" w:rsidRPr="00B57E1A" w:rsidRDefault="00941604" w:rsidP="00941604">
      <w:r>
        <w:t>Gibson (2005)</w:t>
      </w:r>
      <w:r w:rsidRPr="00A41B6B">
        <w:t xml:space="preserve"> interviewed </w:t>
      </w:r>
      <w:r>
        <w:t xml:space="preserve">anglers </w:t>
      </w:r>
      <w:r w:rsidRPr="00A41B6B">
        <w:t>in Washington, DC</w:t>
      </w:r>
      <w:r>
        <w:t>,</w:t>
      </w:r>
      <w:r w:rsidRPr="00A41B6B">
        <w:t xml:space="preserve"> on the Potomac and Anacostia </w:t>
      </w:r>
      <w:r>
        <w:t>r</w:t>
      </w:r>
      <w:r w:rsidRPr="00A41B6B">
        <w:t xml:space="preserve">ivers to determine the efficacy of urban advisories. </w:t>
      </w:r>
      <w:r>
        <w:t>They asked a</w:t>
      </w:r>
      <w:r w:rsidRPr="00A41B6B">
        <w:t xml:space="preserve">nglers questions pertaining to their fishing and consumption habits, advisory knowledge, and risk perceptions. </w:t>
      </w:r>
      <w:r>
        <w:t xml:space="preserve">The author suggests that </w:t>
      </w:r>
      <w:r w:rsidRPr="00A41B6B">
        <w:t>minority anglers, particularly African-Americans</w:t>
      </w:r>
      <w:r>
        <w:t>,</w:t>
      </w:r>
      <w:r w:rsidRPr="00A41B6B">
        <w:t xml:space="preserve"> receiv</w:t>
      </w:r>
      <w:r>
        <w:t>e</w:t>
      </w:r>
      <w:r w:rsidRPr="00A41B6B">
        <w:t xml:space="preserve"> the message in advisories but </w:t>
      </w:r>
      <w:r>
        <w:t>do not</w:t>
      </w:r>
      <w:r w:rsidRPr="00A41B6B">
        <w:t xml:space="preserve"> comply</w:t>
      </w:r>
      <w:r>
        <w:t xml:space="preserve"> with advisory recommendations because of c</w:t>
      </w:r>
      <w:r w:rsidRPr="00A41B6B">
        <w:t>ultural influences</w:t>
      </w:r>
      <w:r>
        <w:t xml:space="preserve"> and</w:t>
      </w:r>
      <w:r w:rsidRPr="00A41B6B">
        <w:t xml:space="preserve"> </w:t>
      </w:r>
      <w:r>
        <w:t>inadequate dissemination of information. The author suggests ways to</w:t>
      </w:r>
      <w:r w:rsidRPr="00A41B6B">
        <w:t xml:space="preserve"> better understand angler risk perception and better educate anglers about the risks of ignoring advisory recommendations.</w:t>
      </w:r>
    </w:p>
    <w:tbl>
      <w:tblPr>
        <w:tblStyle w:val="TableGrid"/>
        <w:tblpPr w:leftFromText="180" w:rightFromText="180" w:vertAnchor="text" w:horzAnchor="margin" w:tblpY="1555"/>
        <w:tblW w:w="0" w:type="auto"/>
        <w:tblLook w:val="04A0" w:firstRow="1" w:lastRow="0" w:firstColumn="1" w:lastColumn="0" w:noHBand="0" w:noVBand="1"/>
      </w:tblPr>
      <w:tblGrid>
        <w:gridCol w:w="1345"/>
        <w:gridCol w:w="8005"/>
      </w:tblGrid>
      <w:tr w:rsidR="0005420D" w14:paraId="4022888A" w14:textId="77777777" w:rsidTr="0005420D">
        <w:tc>
          <w:tcPr>
            <w:tcW w:w="9350" w:type="dxa"/>
            <w:gridSpan w:val="2"/>
            <w:tcBorders>
              <w:top w:val="nil"/>
              <w:left w:val="nil"/>
              <w:bottom w:val="single" w:sz="4" w:space="0" w:color="auto"/>
              <w:right w:val="nil"/>
            </w:tcBorders>
            <w:shd w:val="clear" w:color="auto" w:fill="auto"/>
          </w:tcPr>
          <w:p w14:paraId="392AF5C0" w14:textId="77777777" w:rsidR="0005420D" w:rsidRPr="000A181D" w:rsidRDefault="0005420D" w:rsidP="0005420D">
            <w:pPr>
              <w:rPr>
                <w:b/>
              </w:rPr>
            </w:pPr>
            <w:r>
              <w:rPr>
                <w:b/>
              </w:rPr>
              <w:t>Table 2. Literature sources by location</w:t>
            </w:r>
          </w:p>
        </w:tc>
      </w:tr>
      <w:tr w:rsidR="0005420D" w14:paraId="7214C575" w14:textId="77777777" w:rsidTr="0005420D">
        <w:tc>
          <w:tcPr>
            <w:tcW w:w="1345" w:type="dxa"/>
            <w:tcBorders>
              <w:top w:val="single" w:sz="4" w:space="0" w:color="auto"/>
            </w:tcBorders>
            <w:shd w:val="clear" w:color="auto" w:fill="BDD6EE" w:themeFill="accent1" w:themeFillTint="66"/>
          </w:tcPr>
          <w:p w14:paraId="07DCDC0B" w14:textId="77777777" w:rsidR="0005420D" w:rsidRPr="000A181D" w:rsidRDefault="0005420D" w:rsidP="0005420D">
            <w:pPr>
              <w:rPr>
                <w:b/>
              </w:rPr>
            </w:pPr>
            <w:r>
              <w:rPr>
                <w:b/>
              </w:rPr>
              <w:t># of s</w:t>
            </w:r>
            <w:r w:rsidRPr="000A181D">
              <w:rPr>
                <w:b/>
              </w:rPr>
              <w:t>tudies</w:t>
            </w:r>
          </w:p>
        </w:tc>
        <w:tc>
          <w:tcPr>
            <w:tcW w:w="8005" w:type="dxa"/>
            <w:tcBorders>
              <w:top w:val="single" w:sz="4" w:space="0" w:color="auto"/>
            </w:tcBorders>
            <w:shd w:val="clear" w:color="auto" w:fill="BDD6EE" w:themeFill="accent1" w:themeFillTint="66"/>
          </w:tcPr>
          <w:p w14:paraId="3EF25788" w14:textId="77777777" w:rsidR="0005420D" w:rsidRPr="000A181D" w:rsidRDefault="0005420D" w:rsidP="0005420D">
            <w:pPr>
              <w:rPr>
                <w:b/>
              </w:rPr>
            </w:pPr>
            <w:r w:rsidRPr="000A181D">
              <w:rPr>
                <w:b/>
              </w:rPr>
              <w:t>Location</w:t>
            </w:r>
          </w:p>
        </w:tc>
      </w:tr>
      <w:tr w:rsidR="0005420D" w14:paraId="7F233526" w14:textId="77777777" w:rsidTr="0005420D">
        <w:tc>
          <w:tcPr>
            <w:tcW w:w="1345" w:type="dxa"/>
          </w:tcPr>
          <w:p w14:paraId="21E81D88" w14:textId="77777777" w:rsidR="0005420D" w:rsidRDefault="0005420D" w:rsidP="0005420D">
            <w:r>
              <w:t>10</w:t>
            </w:r>
          </w:p>
        </w:tc>
        <w:tc>
          <w:tcPr>
            <w:tcW w:w="8005" w:type="dxa"/>
          </w:tcPr>
          <w:p w14:paraId="60C19FFA" w14:textId="77777777" w:rsidR="0005420D" w:rsidRDefault="0005420D" w:rsidP="0005420D">
            <w:r>
              <w:t>Great Lakes</w:t>
            </w:r>
          </w:p>
        </w:tc>
      </w:tr>
      <w:tr w:rsidR="0005420D" w14:paraId="1BC69069" w14:textId="77777777" w:rsidTr="0005420D">
        <w:tc>
          <w:tcPr>
            <w:tcW w:w="1345" w:type="dxa"/>
          </w:tcPr>
          <w:p w14:paraId="04BAF243" w14:textId="77777777" w:rsidR="0005420D" w:rsidRDefault="0005420D" w:rsidP="0005420D">
            <w:r>
              <w:t>5</w:t>
            </w:r>
          </w:p>
        </w:tc>
        <w:tc>
          <w:tcPr>
            <w:tcW w:w="8005" w:type="dxa"/>
          </w:tcPr>
          <w:p w14:paraId="12ECA6C5" w14:textId="77777777" w:rsidR="0005420D" w:rsidRDefault="0005420D" w:rsidP="0005420D">
            <w:r>
              <w:t>Northeast</w:t>
            </w:r>
          </w:p>
        </w:tc>
      </w:tr>
      <w:tr w:rsidR="0005420D" w14:paraId="68E2A029" w14:textId="77777777" w:rsidTr="0005420D">
        <w:tc>
          <w:tcPr>
            <w:tcW w:w="1345" w:type="dxa"/>
          </w:tcPr>
          <w:p w14:paraId="2B9ED281" w14:textId="77777777" w:rsidR="0005420D" w:rsidRDefault="0005420D" w:rsidP="0005420D">
            <w:r>
              <w:t>3</w:t>
            </w:r>
          </w:p>
        </w:tc>
        <w:tc>
          <w:tcPr>
            <w:tcW w:w="8005" w:type="dxa"/>
          </w:tcPr>
          <w:p w14:paraId="06FE67D9" w14:textId="77777777" w:rsidR="0005420D" w:rsidRDefault="0005420D" w:rsidP="0005420D">
            <w:r>
              <w:t>Southeast</w:t>
            </w:r>
          </w:p>
        </w:tc>
      </w:tr>
      <w:tr w:rsidR="0005420D" w14:paraId="35C7FBA1" w14:textId="77777777" w:rsidTr="0005420D">
        <w:tc>
          <w:tcPr>
            <w:tcW w:w="1345" w:type="dxa"/>
          </w:tcPr>
          <w:p w14:paraId="592724CD" w14:textId="77777777" w:rsidR="0005420D" w:rsidRDefault="0005420D" w:rsidP="0005420D">
            <w:r>
              <w:t>2</w:t>
            </w:r>
          </w:p>
        </w:tc>
        <w:tc>
          <w:tcPr>
            <w:tcW w:w="8005" w:type="dxa"/>
          </w:tcPr>
          <w:p w14:paraId="4DBBB97E" w14:textId="77777777" w:rsidR="0005420D" w:rsidRDefault="0005420D" w:rsidP="0005420D">
            <w:r>
              <w:t>Chesapeake Bay</w:t>
            </w:r>
          </w:p>
        </w:tc>
      </w:tr>
      <w:tr w:rsidR="0005420D" w14:paraId="2948A47A" w14:textId="77777777" w:rsidTr="0005420D">
        <w:tc>
          <w:tcPr>
            <w:tcW w:w="1345" w:type="dxa"/>
          </w:tcPr>
          <w:p w14:paraId="540D15B2" w14:textId="77777777" w:rsidR="0005420D" w:rsidRDefault="0005420D" w:rsidP="0005420D">
            <w:r>
              <w:t>2</w:t>
            </w:r>
          </w:p>
        </w:tc>
        <w:tc>
          <w:tcPr>
            <w:tcW w:w="8005" w:type="dxa"/>
          </w:tcPr>
          <w:p w14:paraId="15062F13" w14:textId="77777777" w:rsidR="0005420D" w:rsidRDefault="0005420D" w:rsidP="0005420D">
            <w:r>
              <w:t>Nationwide</w:t>
            </w:r>
          </w:p>
        </w:tc>
      </w:tr>
      <w:tr w:rsidR="0005420D" w14:paraId="2A546E49" w14:textId="77777777" w:rsidTr="0005420D">
        <w:tc>
          <w:tcPr>
            <w:tcW w:w="1345" w:type="dxa"/>
          </w:tcPr>
          <w:p w14:paraId="62DA951D" w14:textId="77777777" w:rsidR="0005420D" w:rsidRDefault="0005420D" w:rsidP="0005420D">
            <w:r>
              <w:t>1</w:t>
            </w:r>
          </w:p>
        </w:tc>
        <w:tc>
          <w:tcPr>
            <w:tcW w:w="8005" w:type="dxa"/>
          </w:tcPr>
          <w:p w14:paraId="76976D99" w14:textId="77777777" w:rsidR="0005420D" w:rsidRDefault="0005420D" w:rsidP="0005420D">
            <w:r>
              <w:t>Canada</w:t>
            </w:r>
          </w:p>
        </w:tc>
      </w:tr>
    </w:tbl>
    <w:p w14:paraId="4216DE6F" w14:textId="77777777" w:rsidR="00941604" w:rsidRDefault="00941604" w:rsidP="00941604">
      <w:r>
        <w:t xml:space="preserve">Although most of the studies focused on locations outside the Bay watershed, the findings are still relevant to the goals of the Bay Agreement because many of them specifically studied advisory communication targeting at-risk populations and minorities, which is the focus of the Diversity Workgroup. </w:t>
      </w:r>
    </w:p>
    <w:p w14:paraId="0260101C" w14:textId="77777777" w:rsidR="00941604" w:rsidRDefault="00941604" w:rsidP="00941604">
      <w:r>
        <w:lastRenderedPageBreak/>
        <w:t xml:space="preserve">More than half (13) of the studies focused on fishing in urban or suburban areas. Only two studies focused on rural areas (Table 3). The remaining eight studies did not specify the area or did not focus on only one particular area. </w:t>
      </w:r>
    </w:p>
    <w:p w14:paraId="0051733A" w14:textId="4FBE1E22" w:rsidR="0005420D" w:rsidRDefault="0005420D" w:rsidP="00941604">
      <w:r>
        <w:t>Fourteen (61 percent) of the studies focused primarily on the general population, although some of those studies also covered some minority populations (Table 4). Five studies specifically covered at-risk populations, including women of childbearing age, and 10 studies focused specifically on minorities.</w:t>
      </w:r>
    </w:p>
    <w:p w14:paraId="151E6F58" w14:textId="77777777" w:rsidR="0005420D" w:rsidRDefault="0005420D" w:rsidP="00941604"/>
    <w:tbl>
      <w:tblPr>
        <w:tblStyle w:val="TableGrid"/>
        <w:tblW w:w="0" w:type="auto"/>
        <w:tblLook w:val="04A0" w:firstRow="1" w:lastRow="0" w:firstColumn="1" w:lastColumn="0" w:noHBand="0" w:noVBand="1"/>
      </w:tblPr>
      <w:tblGrid>
        <w:gridCol w:w="1345"/>
        <w:gridCol w:w="8005"/>
      </w:tblGrid>
      <w:tr w:rsidR="00A0464A" w14:paraId="66882A79" w14:textId="77777777" w:rsidTr="000E5ACF">
        <w:tc>
          <w:tcPr>
            <w:tcW w:w="9350" w:type="dxa"/>
            <w:gridSpan w:val="2"/>
            <w:tcBorders>
              <w:top w:val="nil"/>
              <w:left w:val="nil"/>
              <w:bottom w:val="single" w:sz="4" w:space="0" w:color="auto"/>
              <w:right w:val="nil"/>
            </w:tcBorders>
            <w:shd w:val="clear" w:color="auto" w:fill="auto"/>
          </w:tcPr>
          <w:p w14:paraId="54EB6B82" w14:textId="385A2839" w:rsidR="00A0464A" w:rsidRDefault="00A0464A" w:rsidP="006E55A4">
            <w:pPr>
              <w:keepNext/>
              <w:keepLines/>
              <w:widowControl w:val="0"/>
              <w:rPr>
                <w:b/>
              </w:rPr>
            </w:pPr>
            <w:r>
              <w:rPr>
                <w:b/>
              </w:rPr>
              <w:t xml:space="preserve">Table 3. Literature </w:t>
            </w:r>
            <w:r w:rsidR="00FD1E6F">
              <w:rPr>
                <w:b/>
              </w:rPr>
              <w:t>s</w:t>
            </w:r>
            <w:r>
              <w:rPr>
                <w:b/>
              </w:rPr>
              <w:t xml:space="preserve">ources by </w:t>
            </w:r>
            <w:r w:rsidR="00FD1E6F">
              <w:rPr>
                <w:b/>
              </w:rPr>
              <w:t>c</w:t>
            </w:r>
            <w:r>
              <w:rPr>
                <w:b/>
              </w:rPr>
              <w:t xml:space="preserve">ommunity </w:t>
            </w:r>
            <w:r w:rsidR="00FD1E6F">
              <w:rPr>
                <w:b/>
              </w:rPr>
              <w:t>t</w:t>
            </w:r>
            <w:r>
              <w:rPr>
                <w:b/>
              </w:rPr>
              <w:t>ype</w:t>
            </w:r>
          </w:p>
        </w:tc>
      </w:tr>
      <w:tr w:rsidR="00865AC2" w14:paraId="40EC9E88" w14:textId="77777777" w:rsidTr="000E5ACF">
        <w:tc>
          <w:tcPr>
            <w:tcW w:w="1345" w:type="dxa"/>
            <w:tcBorders>
              <w:top w:val="single" w:sz="4" w:space="0" w:color="auto"/>
            </w:tcBorders>
            <w:shd w:val="clear" w:color="auto" w:fill="BDD6EE" w:themeFill="accent1" w:themeFillTint="66"/>
          </w:tcPr>
          <w:p w14:paraId="386FDFE5" w14:textId="75C5E0DB" w:rsidR="00865AC2" w:rsidRPr="000A181D" w:rsidRDefault="00203D55">
            <w:pPr>
              <w:keepNext/>
              <w:keepLines/>
              <w:widowControl w:val="0"/>
              <w:rPr>
                <w:b/>
              </w:rPr>
            </w:pPr>
            <w:r>
              <w:rPr>
                <w:b/>
              </w:rPr>
              <w:t xml:space="preserve"># of </w:t>
            </w:r>
            <w:r w:rsidR="00FD1E6F">
              <w:rPr>
                <w:b/>
              </w:rPr>
              <w:t>s</w:t>
            </w:r>
            <w:r w:rsidR="00865AC2" w:rsidRPr="000A181D">
              <w:rPr>
                <w:b/>
              </w:rPr>
              <w:t>tudies</w:t>
            </w:r>
          </w:p>
        </w:tc>
        <w:tc>
          <w:tcPr>
            <w:tcW w:w="8005" w:type="dxa"/>
            <w:tcBorders>
              <w:top w:val="single" w:sz="4" w:space="0" w:color="auto"/>
            </w:tcBorders>
            <w:shd w:val="clear" w:color="auto" w:fill="BDD6EE" w:themeFill="accent1" w:themeFillTint="66"/>
          </w:tcPr>
          <w:p w14:paraId="36ED1934" w14:textId="43501CB5" w:rsidR="00865AC2" w:rsidRPr="000A181D" w:rsidRDefault="00203D55">
            <w:pPr>
              <w:keepNext/>
              <w:keepLines/>
              <w:widowControl w:val="0"/>
              <w:rPr>
                <w:b/>
              </w:rPr>
            </w:pPr>
            <w:r>
              <w:rPr>
                <w:b/>
              </w:rPr>
              <w:t xml:space="preserve">Area </w:t>
            </w:r>
            <w:r w:rsidR="00FD1E6F">
              <w:rPr>
                <w:b/>
              </w:rPr>
              <w:t>t</w:t>
            </w:r>
            <w:r w:rsidR="00865AC2">
              <w:rPr>
                <w:b/>
              </w:rPr>
              <w:t>ype</w:t>
            </w:r>
          </w:p>
        </w:tc>
      </w:tr>
      <w:tr w:rsidR="00865AC2" w14:paraId="37D23AA6" w14:textId="77777777" w:rsidTr="000E5ACF">
        <w:tc>
          <w:tcPr>
            <w:tcW w:w="1345" w:type="dxa"/>
          </w:tcPr>
          <w:p w14:paraId="508A9B8D" w14:textId="77777777" w:rsidR="00865AC2" w:rsidRDefault="00865AC2" w:rsidP="003E79AC">
            <w:pPr>
              <w:keepNext/>
              <w:keepLines/>
              <w:widowControl w:val="0"/>
            </w:pPr>
            <w:r>
              <w:t>8</w:t>
            </w:r>
          </w:p>
        </w:tc>
        <w:tc>
          <w:tcPr>
            <w:tcW w:w="8005" w:type="dxa"/>
            <w:shd w:val="clear" w:color="auto" w:fill="auto"/>
          </w:tcPr>
          <w:p w14:paraId="707E4962" w14:textId="1E99FC62" w:rsidR="00865AC2" w:rsidRPr="000E5ACF" w:rsidRDefault="00865AC2" w:rsidP="00227FE2">
            <w:pPr>
              <w:keepNext/>
              <w:keepLines/>
              <w:widowControl w:val="0"/>
            </w:pPr>
            <w:r w:rsidRPr="000E5ACF">
              <w:rPr>
                <w:b/>
              </w:rPr>
              <w:t>Urban</w:t>
            </w:r>
            <w:r w:rsidRPr="000E5ACF">
              <w:t xml:space="preserve"> </w:t>
            </w:r>
            <w:r w:rsidR="00227FE2">
              <w:t>(</w:t>
            </w:r>
            <w:r w:rsidR="000D3CE0" w:rsidRPr="000E5ACF">
              <w:t>Buffalo</w:t>
            </w:r>
            <w:r w:rsidR="00227FE2">
              <w:t xml:space="preserve">, </w:t>
            </w:r>
            <w:r w:rsidR="000D3CE0" w:rsidRPr="000E5ACF">
              <w:t>NY</w:t>
            </w:r>
            <w:r w:rsidR="00227FE2">
              <w:t>;</w:t>
            </w:r>
            <w:r w:rsidR="000D3CE0" w:rsidRPr="000E5ACF">
              <w:t xml:space="preserve"> Baltimore</w:t>
            </w:r>
            <w:r w:rsidR="00227FE2">
              <w:t>, MD</w:t>
            </w:r>
            <w:r w:rsidR="000D3CE0" w:rsidRPr="000E5ACF">
              <w:t xml:space="preserve"> and</w:t>
            </w:r>
            <w:r w:rsidR="00227FE2">
              <w:t xml:space="preserve"> Washington,</w:t>
            </w:r>
            <w:r w:rsidR="000D3CE0" w:rsidRPr="000E5ACF">
              <w:t xml:space="preserve"> DC</w:t>
            </w:r>
            <w:r w:rsidR="00227FE2">
              <w:t>;</w:t>
            </w:r>
            <w:r w:rsidR="000D3CE0" w:rsidRPr="000E5ACF">
              <w:t xml:space="preserve"> Great Lakes</w:t>
            </w:r>
            <w:r w:rsidR="00227FE2">
              <w:t>;</w:t>
            </w:r>
            <w:r w:rsidR="000D3CE0" w:rsidRPr="000E5ACF">
              <w:t xml:space="preserve"> Chicago,</w:t>
            </w:r>
            <w:r w:rsidR="00227FE2">
              <w:t xml:space="preserve"> IL; </w:t>
            </w:r>
            <w:r w:rsidR="000D3CE0" w:rsidRPr="000E5ACF">
              <w:t xml:space="preserve"> Northwest </w:t>
            </w:r>
            <w:r w:rsidR="00227FE2">
              <w:t>IN;</w:t>
            </w:r>
            <w:r w:rsidR="000D3CE0" w:rsidRPr="000E5ACF">
              <w:t xml:space="preserve"> Newark Bay </w:t>
            </w:r>
            <w:r w:rsidR="00227FE2">
              <w:t>[</w:t>
            </w:r>
            <w:r w:rsidR="000D3CE0" w:rsidRPr="000E5ACF">
              <w:t>NY</w:t>
            </w:r>
            <w:r w:rsidR="00227FE2">
              <w:t>,</w:t>
            </w:r>
            <w:r w:rsidR="000D3CE0" w:rsidRPr="000E5ACF">
              <w:t xml:space="preserve"> NJ</w:t>
            </w:r>
            <w:r w:rsidR="00227FE2">
              <w:t>]</w:t>
            </w:r>
            <w:r w:rsidR="000D3CE0" w:rsidRPr="000E5ACF">
              <w:t>)</w:t>
            </w:r>
          </w:p>
        </w:tc>
      </w:tr>
      <w:tr w:rsidR="00865AC2" w14:paraId="43DA0D55" w14:textId="77777777" w:rsidTr="000E5ACF">
        <w:tc>
          <w:tcPr>
            <w:tcW w:w="1345" w:type="dxa"/>
          </w:tcPr>
          <w:p w14:paraId="1720CA80" w14:textId="77777777" w:rsidR="00865AC2" w:rsidRDefault="00865AC2" w:rsidP="00865AC2">
            <w:r>
              <w:t>8</w:t>
            </w:r>
          </w:p>
        </w:tc>
        <w:tc>
          <w:tcPr>
            <w:tcW w:w="8005" w:type="dxa"/>
            <w:shd w:val="clear" w:color="auto" w:fill="auto"/>
          </w:tcPr>
          <w:p w14:paraId="60053BF5" w14:textId="29207003" w:rsidR="00865AC2" w:rsidRPr="000E5ACF" w:rsidRDefault="00865AC2" w:rsidP="00227FE2">
            <w:r w:rsidRPr="000E5ACF">
              <w:rPr>
                <w:b/>
              </w:rPr>
              <w:t>Not specified</w:t>
            </w:r>
            <w:r w:rsidRPr="000E5ACF">
              <w:t xml:space="preserve"> </w:t>
            </w:r>
            <w:r w:rsidR="00227FE2">
              <w:t>(</w:t>
            </w:r>
            <w:r w:rsidR="000D3CE0" w:rsidRPr="000E5ACF">
              <w:t xml:space="preserve">Savannah River </w:t>
            </w:r>
            <w:r w:rsidR="00227FE2">
              <w:t>[</w:t>
            </w:r>
            <w:r w:rsidR="000D3CE0" w:rsidRPr="000E5ACF">
              <w:t>SC</w:t>
            </w:r>
            <w:r w:rsidR="00227FE2">
              <w:t>,</w:t>
            </w:r>
            <w:r w:rsidR="000D3CE0" w:rsidRPr="000E5ACF">
              <w:t xml:space="preserve"> GA)</w:t>
            </w:r>
            <w:r w:rsidR="00227FE2">
              <w:t>;</w:t>
            </w:r>
            <w:r w:rsidR="000D3CE0" w:rsidRPr="000E5ACF">
              <w:t xml:space="preserve"> </w:t>
            </w:r>
            <w:r w:rsidR="00803BD7" w:rsidRPr="000E5ACF">
              <w:t>Great Lakes</w:t>
            </w:r>
            <w:r w:rsidR="00227FE2">
              <w:t>;</w:t>
            </w:r>
            <w:r w:rsidR="00803BD7" w:rsidRPr="000E5ACF">
              <w:t xml:space="preserve"> Canada</w:t>
            </w:r>
            <w:r w:rsidR="00227FE2">
              <w:t>;</w:t>
            </w:r>
            <w:r w:rsidR="00803BD7" w:rsidRPr="000E5ACF">
              <w:t xml:space="preserve"> </w:t>
            </w:r>
            <w:r w:rsidR="00227FE2">
              <w:t>LA</w:t>
            </w:r>
            <w:r w:rsidR="00803BD7" w:rsidRPr="000E5ACF">
              <w:t xml:space="preserve">, </w:t>
            </w:r>
            <w:r w:rsidR="00227FE2">
              <w:t>nationwide;</w:t>
            </w:r>
            <w:r w:rsidR="00803BD7" w:rsidRPr="000E5ACF">
              <w:t xml:space="preserve"> Elizabeth</w:t>
            </w:r>
            <w:r w:rsidR="00227FE2">
              <w:t>, NJ)</w:t>
            </w:r>
          </w:p>
        </w:tc>
      </w:tr>
      <w:tr w:rsidR="00865AC2" w14:paraId="4A005F51" w14:textId="77777777" w:rsidTr="000E5ACF">
        <w:tc>
          <w:tcPr>
            <w:tcW w:w="1345" w:type="dxa"/>
          </w:tcPr>
          <w:p w14:paraId="1F3E3BDD" w14:textId="77777777" w:rsidR="00865AC2" w:rsidRDefault="00865AC2" w:rsidP="00865AC2">
            <w:r>
              <w:t>5</w:t>
            </w:r>
          </w:p>
        </w:tc>
        <w:tc>
          <w:tcPr>
            <w:tcW w:w="8005" w:type="dxa"/>
            <w:shd w:val="clear" w:color="auto" w:fill="auto"/>
          </w:tcPr>
          <w:p w14:paraId="318B59CA" w14:textId="0BECDF6B" w:rsidR="00865AC2" w:rsidRPr="000E5ACF" w:rsidRDefault="00865AC2" w:rsidP="00902914">
            <w:r w:rsidRPr="000E5ACF">
              <w:rPr>
                <w:b/>
              </w:rPr>
              <w:t>Suburban</w:t>
            </w:r>
            <w:r w:rsidRPr="000E5ACF">
              <w:t xml:space="preserve"> </w:t>
            </w:r>
            <w:r w:rsidR="00227FE2">
              <w:t>(</w:t>
            </w:r>
            <w:r w:rsidR="00803BD7" w:rsidRPr="000E5ACF">
              <w:t>M</w:t>
            </w:r>
            <w:r w:rsidR="00227FE2">
              <w:t>N; NC</w:t>
            </w:r>
            <w:r w:rsidR="00902914">
              <w:t>;</w:t>
            </w:r>
            <w:r w:rsidR="00227FE2">
              <w:t xml:space="preserve"> Detroit River [MI, Canada);</w:t>
            </w:r>
            <w:r w:rsidR="00803BD7" w:rsidRPr="000E5ACF">
              <w:t xml:space="preserve"> Rochester</w:t>
            </w:r>
            <w:r w:rsidR="00227FE2">
              <w:t xml:space="preserve">, </w:t>
            </w:r>
            <w:r w:rsidR="00803BD7" w:rsidRPr="000E5ACF">
              <w:t>NY</w:t>
            </w:r>
            <w:r w:rsidR="00227FE2">
              <w:t>;</w:t>
            </w:r>
            <w:r w:rsidR="00803BD7" w:rsidRPr="000E5ACF">
              <w:t xml:space="preserve"> NJ</w:t>
            </w:r>
            <w:r w:rsidR="00227FE2">
              <w:t>)</w:t>
            </w:r>
          </w:p>
        </w:tc>
      </w:tr>
      <w:tr w:rsidR="00865AC2" w14:paraId="01CBA025" w14:textId="77777777" w:rsidTr="000E5ACF">
        <w:tc>
          <w:tcPr>
            <w:tcW w:w="1345" w:type="dxa"/>
          </w:tcPr>
          <w:p w14:paraId="0B558477" w14:textId="77777777" w:rsidR="00865AC2" w:rsidRDefault="00865AC2" w:rsidP="00865AC2">
            <w:r>
              <w:t>2</w:t>
            </w:r>
          </w:p>
        </w:tc>
        <w:tc>
          <w:tcPr>
            <w:tcW w:w="8005" w:type="dxa"/>
            <w:shd w:val="clear" w:color="auto" w:fill="auto"/>
          </w:tcPr>
          <w:p w14:paraId="6AC77B21" w14:textId="3ED7EE06" w:rsidR="00865AC2" w:rsidRPr="000E5ACF" w:rsidRDefault="00865AC2" w:rsidP="00227FE2">
            <w:r w:rsidRPr="000E5ACF">
              <w:rPr>
                <w:b/>
              </w:rPr>
              <w:t>Rural</w:t>
            </w:r>
            <w:r w:rsidRPr="000E5ACF">
              <w:t xml:space="preserve"> </w:t>
            </w:r>
            <w:r w:rsidR="00227FE2">
              <w:t>(MI</w:t>
            </w:r>
            <w:r w:rsidR="00803BD7" w:rsidRPr="000E5ACF">
              <w:t xml:space="preserve"> Upper Peninsula</w:t>
            </w:r>
            <w:r w:rsidR="00227FE2">
              <w:t>;</w:t>
            </w:r>
            <w:r w:rsidR="00803BD7" w:rsidRPr="000E5ACF">
              <w:t xml:space="preserve"> </w:t>
            </w:r>
            <w:r w:rsidR="00227FE2">
              <w:t>NY/NJ</w:t>
            </w:r>
            <w:r w:rsidR="00803BD7" w:rsidRPr="000E5ACF">
              <w:t xml:space="preserve"> Estuary</w:t>
            </w:r>
            <w:r w:rsidR="00227FE2">
              <w:t>)</w:t>
            </w:r>
          </w:p>
        </w:tc>
      </w:tr>
    </w:tbl>
    <w:p w14:paraId="6FCBC92D" w14:textId="1ABA8372" w:rsidR="008D52CD" w:rsidRDefault="008D52CD" w:rsidP="00865AC2"/>
    <w:tbl>
      <w:tblPr>
        <w:tblStyle w:val="TableGrid"/>
        <w:tblW w:w="0" w:type="auto"/>
        <w:tblLook w:val="04A0" w:firstRow="1" w:lastRow="0" w:firstColumn="1" w:lastColumn="0" w:noHBand="0" w:noVBand="1"/>
      </w:tblPr>
      <w:tblGrid>
        <w:gridCol w:w="1345"/>
        <w:gridCol w:w="8005"/>
      </w:tblGrid>
      <w:tr w:rsidR="00C91426" w14:paraId="3773DB27" w14:textId="77777777" w:rsidTr="000E5ACF">
        <w:tc>
          <w:tcPr>
            <w:tcW w:w="9350" w:type="dxa"/>
            <w:gridSpan w:val="2"/>
            <w:tcBorders>
              <w:top w:val="nil"/>
              <w:left w:val="nil"/>
              <w:bottom w:val="single" w:sz="4" w:space="0" w:color="auto"/>
              <w:right w:val="nil"/>
            </w:tcBorders>
            <w:shd w:val="clear" w:color="auto" w:fill="auto"/>
          </w:tcPr>
          <w:p w14:paraId="5C6C07CB" w14:textId="7AC45D5A" w:rsidR="00C91426" w:rsidRDefault="00C91426">
            <w:pPr>
              <w:rPr>
                <w:b/>
              </w:rPr>
            </w:pPr>
            <w:r>
              <w:rPr>
                <w:b/>
              </w:rPr>
              <w:t xml:space="preserve">Table 4. Literature </w:t>
            </w:r>
            <w:r w:rsidR="00FD1E6F">
              <w:rPr>
                <w:b/>
              </w:rPr>
              <w:t>s</w:t>
            </w:r>
            <w:r>
              <w:rPr>
                <w:b/>
              </w:rPr>
              <w:t xml:space="preserve">ources by </w:t>
            </w:r>
            <w:r w:rsidR="00FD1E6F">
              <w:rPr>
                <w:b/>
              </w:rPr>
              <w:t>t</w:t>
            </w:r>
            <w:r>
              <w:rPr>
                <w:b/>
              </w:rPr>
              <w:t xml:space="preserve">arget </w:t>
            </w:r>
            <w:r w:rsidR="00FD1E6F">
              <w:rPr>
                <w:b/>
              </w:rPr>
              <w:t>p</w:t>
            </w:r>
            <w:r>
              <w:rPr>
                <w:b/>
              </w:rPr>
              <w:t xml:space="preserve">opulation </w:t>
            </w:r>
            <w:r w:rsidR="00FD1E6F">
              <w:rPr>
                <w:b/>
              </w:rPr>
              <w:t>t</w:t>
            </w:r>
            <w:r>
              <w:rPr>
                <w:b/>
              </w:rPr>
              <w:t>ype</w:t>
            </w:r>
          </w:p>
        </w:tc>
      </w:tr>
      <w:tr w:rsidR="00865AC2" w14:paraId="4F4EC05F" w14:textId="77777777" w:rsidTr="000E5ACF">
        <w:tc>
          <w:tcPr>
            <w:tcW w:w="1345" w:type="dxa"/>
            <w:tcBorders>
              <w:top w:val="single" w:sz="4" w:space="0" w:color="auto"/>
            </w:tcBorders>
            <w:shd w:val="clear" w:color="auto" w:fill="BDD6EE" w:themeFill="accent1" w:themeFillTint="66"/>
          </w:tcPr>
          <w:p w14:paraId="5C92C7B0" w14:textId="77777777" w:rsidR="00865AC2" w:rsidRPr="000A181D" w:rsidRDefault="00865AC2" w:rsidP="00865AC2">
            <w:pPr>
              <w:rPr>
                <w:b/>
              </w:rPr>
            </w:pPr>
            <w:r w:rsidRPr="000A181D">
              <w:rPr>
                <w:b/>
              </w:rPr>
              <w:t># of studies</w:t>
            </w:r>
          </w:p>
        </w:tc>
        <w:tc>
          <w:tcPr>
            <w:tcW w:w="8005" w:type="dxa"/>
            <w:tcBorders>
              <w:top w:val="single" w:sz="4" w:space="0" w:color="auto"/>
            </w:tcBorders>
            <w:shd w:val="clear" w:color="auto" w:fill="BDD6EE" w:themeFill="accent1" w:themeFillTint="66"/>
          </w:tcPr>
          <w:p w14:paraId="06037FE9" w14:textId="77777777" w:rsidR="00865AC2" w:rsidRPr="000A181D" w:rsidRDefault="00865AC2" w:rsidP="00865AC2">
            <w:pPr>
              <w:rPr>
                <w:b/>
              </w:rPr>
            </w:pPr>
            <w:r>
              <w:rPr>
                <w:b/>
              </w:rPr>
              <w:t>Population type</w:t>
            </w:r>
          </w:p>
        </w:tc>
      </w:tr>
      <w:tr w:rsidR="00865AC2" w14:paraId="6929172D" w14:textId="77777777" w:rsidTr="00865AC2">
        <w:tc>
          <w:tcPr>
            <w:tcW w:w="1345" w:type="dxa"/>
          </w:tcPr>
          <w:p w14:paraId="1B36D53B" w14:textId="1A7E6F10" w:rsidR="00865AC2" w:rsidRDefault="00865AC2" w:rsidP="00AD4350">
            <w:r>
              <w:t>1</w:t>
            </w:r>
            <w:r w:rsidR="00AD4350">
              <w:t>5</w:t>
            </w:r>
          </w:p>
        </w:tc>
        <w:tc>
          <w:tcPr>
            <w:tcW w:w="8005" w:type="dxa"/>
          </w:tcPr>
          <w:p w14:paraId="219EEE4F" w14:textId="77777777" w:rsidR="00865AC2" w:rsidRDefault="00865AC2" w:rsidP="00865AC2">
            <w:r>
              <w:t>General population</w:t>
            </w:r>
          </w:p>
        </w:tc>
      </w:tr>
      <w:tr w:rsidR="00865AC2" w14:paraId="21B892BB" w14:textId="77777777" w:rsidTr="00865AC2">
        <w:tc>
          <w:tcPr>
            <w:tcW w:w="1345" w:type="dxa"/>
          </w:tcPr>
          <w:p w14:paraId="686B0850" w14:textId="77777777" w:rsidR="00865AC2" w:rsidRDefault="00865AC2" w:rsidP="00865AC2">
            <w:r>
              <w:t>10</w:t>
            </w:r>
          </w:p>
        </w:tc>
        <w:tc>
          <w:tcPr>
            <w:tcW w:w="8005" w:type="dxa"/>
          </w:tcPr>
          <w:p w14:paraId="6D2AE5A3" w14:textId="77777777" w:rsidR="00865AC2" w:rsidRDefault="00865AC2" w:rsidP="00865AC2">
            <w:r>
              <w:t>Minority (total)</w:t>
            </w:r>
          </w:p>
        </w:tc>
      </w:tr>
      <w:tr w:rsidR="00865AC2" w14:paraId="3C8275F3" w14:textId="77777777" w:rsidTr="00865AC2">
        <w:tc>
          <w:tcPr>
            <w:tcW w:w="1345" w:type="dxa"/>
          </w:tcPr>
          <w:p w14:paraId="40E1D4CB" w14:textId="77777777" w:rsidR="00865AC2" w:rsidRDefault="00865AC2" w:rsidP="005664E5">
            <w:r>
              <w:t>10</w:t>
            </w:r>
          </w:p>
        </w:tc>
        <w:tc>
          <w:tcPr>
            <w:tcW w:w="8005" w:type="dxa"/>
          </w:tcPr>
          <w:p w14:paraId="32AD46D0" w14:textId="77777777" w:rsidR="00865AC2" w:rsidRDefault="00865AC2" w:rsidP="00865AC2">
            <w:r>
              <w:t xml:space="preserve">     Minority (African American)</w:t>
            </w:r>
          </w:p>
        </w:tc>
      </w:tr>
      <w:tr w:rsidR="00865AC2" w14:paraId="50E99B95" w14:textId="77777777" w:rsidTr="00865AC2">
        <w:tc>
          <w:tcPr>
            <w:tcW w:w="1345" w:type="dxa"/>
          </w:tcPr>
          <w:p w14:paraId="73F3C3B1" w14:textId="77777777" w:rsidR="00865AC2" w:rsidRDefault="00865AC2" w:rsidP="005664E5">
            <w:r>
              <w:t>9</w:t>
            </w:r>
          </w:p>
        </w:tc>
        <w:tc>
          <w:tcPr>
            <w:tcW w:w="8005" w:type="dxa"/>
          </w:tcPr>
          <w:p w14:paraId="69A74406" w14:textId="77777777" w:rsidR="00865AC2" w:rsidRDefault="00865AC2" w:rsidP="00865AC2">
            <w:r>
              <w:t xml:space="preserve">     Minority (Latino/Hispanic)</w:t>
            </w:r>
          </w:p>
        </w:tc>
      </w:tr>
      <w:tr w:rsidR="00865AC2" w14:paraId="76E4D2C1" w14:textId="77777777" w:rsidTr="00865AC2">
        <w:tc>
          <w:tcPr>
            <w:tcW w:w="1345" w:type="dxa"/>
          </w:tcPr>
          <w:p w14:paraId="2D027135" w14:textId="77777777" w:rsidR="00865AC2" w:rsidRDefault="00865AC2" w:rsidP="005664E5">
            <w:r>
              <w:t>6</w:t>
            </w:r>
          </w:p>
        </w:tc>
        <w:tc>
          <w:tcPr>
            <w:tcW w:w="8005" w:type="dxa"/>
          </w:tcPr>
          <w:p w14:paraId="51BDBC12" w14:textId="77777777" w:rsidR="00865AC2" w:rsidRDefault="00865AC2" w:rsidP="00865AC2">
            <w:r>
              <w:t xml:space="preserve">     Minority (Asian)</w:t>
            </w:r>
          </w:p>
        </w:tc>
      </w:tr>
      <w:tr w:rsidR="00865AC2" w14:paraId="5E4B9E28" w14:textId="77777777" w:rsidTr="00865AC2">
        <w:tc>
          <w:tcPr>
            <w:tcW w:w="1345" w:type="dxa"/>
          </w:tcPr>
          <w:p w14:paraId="43763C9C" w14:textId="77777777" w:rsidR="00865AC2" w:rsidRDefault="00865AC2" w:rsidP="005664E5">
            <w:r>
              <w:t>3</w:t>
            </w:r>
          </w:p>
        </w:tc>
        <w:tc>
          <w:tcPr>
            <w:tcW w:w="8005" w:type="dxa"/>
          </w:tcPr>
          <w:p w14:paraId="2A000850" w14:textId="77777777" w:rsidR="00865AC2" w:rsidRPr="000E5ACF" w:rsidRDefault="00865AC2" w:rsidP="00865AC2">
            <w:r w:rsidRPr="000E5ACF">
              <w:t xml:space="preserve">     Minority (Native American)</w:t>
            </w:r>
          </w:p>
        </w:tc>
      </w:tr>
      <w:tr w:rsidR="00865AC2" w14:paraId="65EC8580" w14:textId="77777777" w:rsidTr="00865AC2">
        <w:tc>
          <w:tcPr>
            <w:tcW w:w="1345" w:type="dxa"/>
          </w:tcPr>
          <w:p w14:paraId="15FF4E1C" w14:textId="77777777" w:rsidR="00865AC2" w:rsidRDefault="00865AC2" w:rsidP="00865AC2">
            <w:r>
              <w:t>5</w:t>
            </w:r>
          </w:p>
        </w:tc>
        <w:tc>
          <w:tcPr>
            <w:tcW w:w="8005" w:type="dxa"/>
          </w:tcPr>
          <w:p w14:paraId="7E643906" w14:textId="5A3E4C57" w:rsidR="00865AC2" w:rsidRPr="000E5ACF" w:rsidRDefault="00865AC2">
            <w:r w:rsidRPr="000E5ACF">
              <w:t>At-risk</w:t>
            </w:r>
            <w:r w:rsidR="00BA0956" w:rsidRPr="000E5ACF">
              <w:t xml:space="preserve"> (</w:t>
            </w:r>
            <w:r w:rsidR="000D3CE0" w:rsidRPr="000E5ACF">
              <w:t>w</w:t>
            </w:r>
            <w:r w:rsidR="00151054" w:rsidRPr="000E5ACF">
              <w:t>omen of childbearing age</w:t>
            </w:r>
            <w:r w:rsidR="000D3CE0" w:rsidRPr="000E5ACF">
              <w:t xml:space="preserve"> or children</w:t>
            </w:r>
            <w:r w:rsidR="00BA0956" w:rsidRPr="000E5ACF">
              <w:t>)</w:t>
            </w:r>
          </w:p>
        </w:tc>
      </w:tr>
    </w:tbl>
    <w:p w14:paraId="3DCA761D" w14:textId="77777777" w:rsidR="00865AC2" w:rsidRPr="00B421C7" w:rsidRDefault="00865AC2" w:rsidP="00865AC2"/>
    <w:p w14:paraId="7EAEB56D" w14:textId="77777777" w:rsidR="00C00EB2" w:rsidRDefault="00C00EB2" w:rsidP="00BE2D7E">
      <w:pPr>
        <w:rPr>
          <w:b/>
        </w:rPr>
      </w:pPr>
    </w:p>
    <w:p w14:paraId="182C9201" w14:textId="639F518F" w:rsidR="003C08A8" w:rsidRDefault="00071AD3" w:rsidP="003350B2">
      <w:pPr>
        <w:pStyle w:val="Heading2"/>
      </w:pPr>
      <w:r w:rsidRPr="00071AD3">
        <w:t xml:space="preserve">Communication </w:t>
      </w:r>
      <w:r w:rsidR="003C08A8">
        <w:t>M</w:t>
      </w:r>
      <w:r w:rsidRPr="00071AD3">
        <w:t>ethods</w:t>
      </w:r>
    </w:p>
    <w:p w14:paraId="464A8466" w14:textId="4027A3C7" w:rsidR="00B87989" w:rsidRDefault="00FC5B24" w:rsidP="00235E86">
      <w:r>
        <w:t>A</w:t>
      </w:r>
      <w:r w:rsidR="003C08A8" w:rsidRPr="000E5ACF">
        <w:t xml:space="preserve"> number of different communication methods are typically used by state environmental, fish and game, or health departments to communicate fish advisories to the fishing public. </w:t>
      </w:r>
      <w:r w:rsidR="000E5ACF" w:rsidRPr="000E5ACF">
        <w:t>In the literature reviewed, the most commonly cited method</w:t>
      </w:r>
      <w:r w:rsidR="00902914">
        <w:t xml:space="preserve"> used</w:t>
      </w:r>
      <w:r w:rsidR="000E5ACF" w:rsidRPr="000E5ACF">
        <w:t xml:space="preserve"> for distributing advisory information </w:t>
      </w:r>
      <w:r w:rsidR="00902914">
        <w:t>was the</w:t>
      </w:r>
      <w:r w:rsidR="000E5ACF" w:rsidRPr="000E5ACF">
        <w:t xml:space="preserve"> regulation booklet provided at the point of purchase of fishing licenses</w:t>
      </w:r>
      <w:r w:rsidR="00902914">
        <w:t>. This is in contrast with the method cited as most recalled by study participants, which was word of mouth</w:t>
      </w:r>
      <w:r w:rsidR="000E5ACF" w:rsidRPr="000E5ACF">
        <w:t xml:space="preserve">. </w:t>
      </w:r>
      <w:r w:rsidR="000E5ACF">
        <w:t>Table 5 shows the number of sources that noted use of the method by an agency or noted the method as being recalled by the study respondents in focus groups or interviews.  S</w:t>
      </w:r>
      <w:r w:rsidR="000A181D" w:rsidRPr="000E5ACF">
        <w:t xml:space="preserve">ome </w:t>
      </w:r>
      <w:r w:rsidR="000E5ACF">
        <w:t xml:space="preserve">of the </w:t>
      </w:r>
      <w:r w:rsidR="000A181D" w:rsidRPr="000E5ACF">
        <w:t>studies did not specify the communication</w:t>
      </w:r>
      <w:r w:rsidR="000A181D">
        <w:t xml:space="preserve"> methods used</w:t>
      </w:r>
      <w:r w:rsidR="000E5ACF">
        <w:t xml:space="preserve"> by the agency or what method the interviewee recalled seeing</w:t>
      </w:r>
      <w:r w:rsidR="000A181D">
        <w:t>.</w:t>
      </w:r>
      <w:r w:rsidR="00BE2D7E" w:rsidRPr="00BE2D7E">
        <w:t xml:space="preserve"> </w:t>
      </w:r>
    </w:p>
    <w:p w14:paraId="6195584D" w14:textId="77777777" w:rsidR="00BB6409" w:rsidRDefault="00BB6409" w:rsidP="00235E86"/>
    <w:p w14:paraId="76831DC0" w14:textId="77777777" w:rsidR="0005420D" w:rsidRDefault="0005420D" w:rsidP="00235E86"/>
    <w:tbl>
      <w:tblPr>
        <w:tblStyle w:val="TableGrid"/>
        <w:tblpPr w:leftFromText="180" w:rightFromText="180" w:vertAnchor="text" w:horzAnchor="margin" w:tblpY="202"/>
        <w:tblW w:w="0" w:type="auto"/>
        <w:tblLook w:val="04A0" w:firstRow="1" w:lastRow="0" w:firstColumn="1" w:lastColumn="0" w:noHBand="0" w:noVBand="1"/>
      </w:tblPr>
      <w:tblGrid>
        <w:gridCol w:w="1855"/>
        <w:gridCol w:w="2212"/>
        <w:gridCol w:w="5293"/>
      </w:tblGrid>
      <w:tr w:rsidR="00855CFF" w14:paraId="0CB4DFB0" w14:textId="77777777" w:rsidTr="00FA20EF">
        <w:tc>
          <w:tcPr>
            <w:tcW w:w="9360" w:type="dxa"/>
            <w:gridSpan w:val="3"/>
            <w:tcBorders>
              <w:top w:val="nil"/>
              <w:left w:val="nil"/>
              <w:bottom w:val="single" w:sz="4" w:space="0" w:color="auto"/>
              <w:right w:val="nil"/>
            </w:tcBorders>
          </w:tcPr>
          <w:p w14:paraId="578B0E6A" w14:textId="0C5B56C5" w:rsidR="00855CFF" w:rsidRPr="000A181D" w:rsidRDefault="00855CFF" w:rsidP="00C00EB2">
            <w:pPr>
              <w:rPr>
                <w:b/>
              </w:rPr>
            </w:pPr>
            <w:r>
              <w:rPr>
                <w:b/>
              </w:rPr>
              <w:lastRenderedPageBreak/>
              <w:t>Table 5. Communication method for advisories</w:t>
            </w:r>
          </w:p>
        </w:tc>
      </w:tr>
      <w:tr w:rsidR="00F52EC1" w14:paraId="3075A36F" w14:textId="77777777" w:rsidTr="00F52EC1">
        <w:tc>
          <w:tcPr>
            <w:tcW w:w="1855" w:type="dxa"/>
            <w:tcBorders>
              <w:top w:val="single" w:sz="4" w:space="0" w:color="auto"/>
            </w:tcBorders>
            <w:shd w:val="clear" w:color="auto" w:fill="BDD6EE" w:themeFill="accent1" w:themeFillTint="66"/>
          </w:tcPr>
          <w:p w14:paraId="681BD624" w14:textId="6613D784" w:rsidR="00F52EC1" w:rsidRDefault="00F52EC1" w:rsidP="00C00EB2">
            <w:pPr>
              <w:rPr>
                <w:b/>
              </w:rPr>
            </w:pPr>
            <w:r>
              <w:rPr>
                <w:b/>
              </w:rPr>
              <w:t>Number of studies in which this method was reported being used</w:t>
            </w:r>
          </w:p>
        </w:tc>
        <w:tc>
          <w:tcPr>
            <w:tcW w:w="2212" w:type="dxa"/>
            <w:tcBorders>
              <w:top w:val="single" w:sz="4" w:space="0" w:color="auto"/>
            </w:tcBorders>
            <w:shd w:val="clear" w:color="auto" w:fill="BDD6EE" w:themeFill="accent1" w:themeFillTint="66"/>
          </w:tcPr>
          <w:p w14:paraId="11F61AFD" w14:textId="7EA0D114" w:rsidR="00F52EC1" w:rsidRPr="000A181D" w:rsidRDefault="00F52EC1" w:rsidP="00F52EC1">
            <w:pPr>
              <w:rPr>
                <w:b/>
              </w:rPr>
            </w:pPr>
            <w:r>
              <w:rPr>
                <w:b/>
              </w:rPr>
              <w:t>Number of s</w:t>
            </w:r>
            <w:r w:rsidRPr="000A181D">
              <w:rPr>
                <w:b/>
              </w:rPr>
              <w:t>tudies</w:t>
            </w:r>
            <w:r>
              <w:rPr>
                <w:b/>
              </w:rPr>
              <w:t xml:space="preserve"> in which this method was reported being recalled by respondents</w:t>
            </w:r>
          </w:p>
        </w:tc>
        <w:tc>
          <w:tcPr>
            <w:tcW w:w="5293" w:type="dxa"/>
            <w:tcBorders>
              <w:top w:val="single" w:sz="4" w:space="0" w:color="auto"/>
            </w:tcBorders>
            <w:shd w:val="clear" w:color="auto" w:fill="BDD6EE" w:themeFill="accent1" w:themeFillTint="66"/>
            <w:vAlign w:val="bottom"/>
          </w:tcPr>
          <w:p w14:paraId="29760A4B" w14:textId="77777777" w:rsidR="00F52EC1" w:rsidRPr="000A181D" w:rsidRDefault="00F52EC1" w:rsidP="00C00EB2">
            <w:pPr>
              <w:rPr>
                <w:b/>
              </w:rPr>
            </w:pPr>
            <w:r w:rsidRPr="000A181D">
              <w:rPr>
                <w:b/>
              </w:rPr>
              <w:t>Communication me</w:t>
            </w:r>
            <w:r>
              <w:rPr>
                <w:b/>
              </w:rPr>
              <w:t xml:space="preserve">thod used for fish consumption </w:t>
            </w:r>
            <w:r w:rsidRPr="000A181D">
              <w:rPr>
                <w:b/>
              </w:rPr>
              <w:t>advisories</w:t>
            </w:r>
          </w:p>
        </w:tc>
      </w:tr>
      <w:tr w:rsidR="00B468A1" w14:paraId="53301AE0" w14:textId="77777777" w:rsidTr="00F52EC1">
        <w:tc>
          <w:tcPr>
            <w:tcW w:w="1855" w:type="dxa"/>
          </w:tcPr>
          <w:p w14:paraId="244A719A" w14:textId="643D9009" w:rsidR="00B468A1" w:rsidRDefault="00B468A1" w:rsidP="00B468A1">
            <w:r>
              <w:t>11</w:t>
            </w:r>
          </w:p>
        </w:tc>
        <w:tc>
          <w:tcPr>
            <w:tcW w:w="2212" w:type="dxa"/>
          </w:tcPr>
          <w:p w14:paraId="56F4F47D" w14:textId="28CB9C49" w:rsidR="00B468A1" w:rsidRDefault="00B468A1" w:rsidP="00B468A1">
            <w:r>
              <w:t>5</w:t>
            </w:r>
          </w:p>
        </w:tc>
        <w:tc>
          <w:tcPr>
            <w:tcW w:w="5293" w:type="dxa"/>
          </w:tcPr>
          <w:p w14:paraId="0E544D8F" w14:textId="26376F64" w:rsidR="00B468A1" w:rsidRDefault="00B468A1" w:rsidP="00B468A1">
            <w:r>
              <w:t>Fishing license materials/regulations booklets</w:t>
            </w:r>
          </w:p>
        </w:tc>
      </w:tr>
      <w:tr w:rsidR="00B468A1" w14:paraId="1D0E7E6F" w14:textId="77777777" w:rsidTr="00F52EC1">
        <w:tc>
          <w:tcPr>
            <w:tcW w:w="1855" w:type="dxa"/>
          </w:tcPr>
          <w:p w14:paraId="1BFB9837" w14:textId="3C1A4C65" w:rsidR="00B468A1" w:rsidRDefault="00B468A1" w:rsidP="00B468A1">
            <w:r>
              <w:t>8</w:t>
            </w:r>
          </w:p>
        </w:tc>
        <w:tc>
          <w:tcPr>
            <w:tcW w:w="2212" w:type="dxa"/>
          </w:tcPr>
          <w:p w14:paraId="2C0B980A" w14:textId="57F19ED3" w:rsidR="00B468A1" w:rsidRDefault="00B468A1" w:rsidP="00B468A1">
            <w:r>
              <w:t>5</w:t>
            </w:r>
          </w:p>
        </w:tc>
        <w:tc>
          <w:tcPr>
            <w:tcW w:w="5293" w:type="dxa"/>
          </w:tcPr>
          <w:p w14:paraId="53D492BF" w14:textId="6B66E036" w:rsidR="00B468A1" w:rsidRDefault="00B468A1" w:rsidP="00B468A1">
            <w:r>
              <w:t>Signs/posters</w:t>
            </w:r>
          </w:p>
        </w:tc>
      </w:tr>
      <w:tr w:rsidR="00B468A1" w14:paraId="4BB50EC1" w14:textId="77777777" w:rsidTr="00F52EC1">
        <w:tc>
          <w:tcPr>
            <w:tcW w:w="1855" w:type="dxa"/>
          </w:tcPr>
          <w:p w14:paraId="2F812550" w14:textId="6D3F9D0C" w:rsidR="00B468A1" w:rsidRDefault="00B468A1" w:rsidP="00B468A1">
            <w:r>
              <w:t>8</w:t>
            </w:r>
          </w:p>
        </w:tc>
        <w:tc>
          <w:tcPr>
            <w:tcW w:w="2212" w:type="dxa"/>
          </w:tcPr>
          <w:p w14:paraId="50152205" w14:textId="3C78C394" w:rsidR="00B468A1" w:rsidRDefault="00B468A1" w:rsidP="00B468A1">
            <w:r>
              <w:t>4</w:t>
            </w:r>
          </w:p>
        </w:tc>
        <w:tc>
          <w:tcPr>
            <w:tcW w:w="5293" w:type="dxa"/>
          </w:tcPr>
          <w:p w14:paraId="55C6EE69" w14:textId="7FF3E618" w:rsidR="00B468A1" w:rsidRDefault="00B468A1" w:rsidP="00B468A1">
            <w:r>
              <w:t>Brochures or printed materials</w:t>
            </w:r>
          </w:p>
        </w:tc>
      </w:tr>
      <w:tr w:rsidR="00B468A1" w14:paraId="6CCEEF2C" w14:textId="77777777" w:rsidTr="00F52EC1">
        <w:tc>
          <w:tcPr>
            <w:tcW w:w="1855" w:type="dxa"/>
          </w:tcPr>
          <w:p w14:paraId="5FD61B70" w14:textId="1775C4E3" w:rsidR="00B468A1" w:rsidRDefault="00B468A1" w:rsidP="00B468A1">
            <w:r>
              <w:t>6</w:t>
            </w:r>
          </w:p>
        </w:tc>
        <w:tc>
          <w:tcPr>
            <w:tcW w:w="2212" w:type="dxa"/>
          </w:tcPr>
          <w:p w14:paraId="7C03EF6E" w14:textId="1C0EE606" w:rsidR="00B468A1" w:rsidRDefault="00B468A1" w:rsidP="00B468A1">
            <w:r>
              <w:t>1</w:t>
            </w:r>
          </w:p>
        </w:tc>
        <w:tc>
          <w:tcPr>
            <w:tcW w:w="5293" w:type="dxa"/>
          </w:tcPr>
          <w:p w14:paraId="3E054FB0" w14:textId="029B3872" w:rsidR="00B468A1" w:rsidRDefault="00B468A1" w:rsidP="00B468A1">
            <w:r>
              <w:t>Press releases</w:t>
            </w:r>
          </w:p>
        </w:tc>
      </w:tr>
      <w:tr w:rsidR="00B468A1" w14:paraId="04C819B8" w14:textId="77777777" w:rsidTr="00F52EC1">
        <w:tc>
          <w:tcPr>
            <w:tcW w:w="1855" w:type="dxa"/>
          </w:tcPr>
          <w:p w14:paraId="528D879C" w14:textId="30EFB93F" w:rsidR="00B468A1" w:rsidRDefault="00B468A1" w:rsidP="00B468A1">
            <w:r>
              <w:t>5</w:t>
            </w:r>
          </w:p>
        </w:tc>
        <w:tc>
          <w:tcPr>
            <w:tcW w:w="2212" w:type="dxa"/>
          </w:tcPr>
          <w:p w14:paraId="59BA5BD3" w14:textId="0C16CFC4" w:rsidR="00B468A1" w:rsidRDefault="00B468A1" w:rsidP="00B468A1">
            <w:r>
              <w:t>4</w:t>
            </w:r>
          </w:p>
        </w:tc>
        <w:tc>
          <w:tcPr>
            <w:tcW w:w="5293" w:type="dxa"/>
          </w:tcPr>
          <w:p w14:paraId="5D619CC5" w14:textId="77777777" w:rsidR="00B468A1" w:rsidRDefault="00B468A1" w:rsidP="00B468A1">
            <w:r w:rsidRPr="00497BCA">
              <w:t>Websites</w:t>
            </w:r>
            <w:r>
              <w:t xml:space="preserve"> or online</w:t>
            </w:r>
          </w:p>
        </w:tc>
      </w:tr>
      <w:tr w:rsidR="00B468A1" w14:paraId="73A68B5B" w14:textId="77777777" w:rsidTr="00F52EC1">
        <w:tc>
          <w:tcPr>
            <w:tcW w:w="1855" w:type="dxa"/>
          </w:tcPr>
          <w:p w14:paraId="5E64C79F" w14:textId="77A263ED" w:rsidR="00B468A1" w:rsidRDefault="00B468A1" w:rsidP="00B468A1">
            <w:r>
              <w:t>2</w:t>
            </w:r>
          </w:p>
        </w:tc>
        <w:tc>
          <w:tcPr>
            <w:tcW w:w="2212" w:type="dxa"/>
          </w:tcPr>
          <w:p w14:paraId="0B8F6DC1" w14:textId="622D424E" w:rsidR="00B468A1" w:rsidRDefault="00B468A1" w:rsidP="00B468A1">
            <w:r>
              <w:t>8</w:t>
            </w:r>
          </w:p>
        </w:tc>
        <w:tc>
          <w:tcPr>
            <w:tcW w:w="5293" w:type="dxa"/>
          </w:tcPr>
          <w:p w14:paraId="18724AA6" w14:textId="77777777" w:rsidR="00B468A1" w:rsidRDefault="00B468A1" w:rsidP="00B468A1">
            <w:r>
              <w:t>Television or audiovisual source</w:t>
            </w:r>
          </w:p>
        </w:tc>
      </w:tr>
      <w:tr w:rsidR="00B468A1" w14:paraId="4E29C2A5" w14:textId="77777777" w:rsidTr="00F52EC1">
        <w:tc>
          <w:tcPr>
            <w:tcW w:w="1855" w:type="dxa"/>
          </w:tcPr>
          <w:p w14:paraId="6AADC9E2" w14:textId="05E9B35F" w:rsidR="00B468A1" w:rsidRDefault="00B468A1" w:rsidP="00B468A1">
            <w:r>
              <w:t>2</w:t>
            </w:r>
          </w:p>
        </w:tc>
        <w:tc>
          <w:tcPr>
            <w:tcW w:w="2212" w:type="dxa"/>
          </w:tcPr>
          <w:p w14:paraId="573D2615" w14:textId="7193067F" w:rsidR="00B468A1" w:rsidRDefault="00B468A1" w:rsidP="00B468A1">
            <w:r>
              <w:t>10</w:t>
            </w:r>
          </w:p>
        </w:tc>
        <w:tc>
          <w:tcPr>
            <w:tcW w:w="5293" w:type="dxa"/>
          </w:tcPr>
          <w:p w14:paraId="5FEACF90" w14:textId="306D1ED0" w:rsidR="00B468A1" w:rsidRDefault="00B468A1" w:rsidP="00B468A1">
            <w:r>
              <w:t>Word of mouth</w:t>
            </w:r>
          </w:p>
        </w:tc>
      </w:tr>
      <w:tr w:rsidR="00B468A1" w14:paraId="4C48E3FF" w14:textId="77777777" w:rsidTr="00F52EC1">
        <w:tc>
          <w:tcPr>
            <w:tcW w:w="1855" w:type="dxa"/>
          </w:tcPr>
          <w:p w14:paraId="7707B7B6" w14:textId="376709F3" w:rsidR="00B468A1" w:rsidRDefault="00B468A1" w:rsidP="00B468A1">
            <w:r>
              <w:t>1</w:t>
            </w:r>
          </w:p>
        </w:tc>
        <w:tc>
          <w:tcPr>
            <w:tcW w:w="2212" w:type="dxa"/>
          </w:tcPr>
          <w:p w14:paraId="331D0D08" w14:textId="06F56FB8" w:rsidR="00B468A1" w:rsidRDefault="00B468A1" w:rsidP="00B468A1">
            <w:r>
              <w:t>7</w:t>
            </w:r>
          </w:p>
        </w:tc>
        <w:tc>
          <w:tcPr>
            <w:tcW w:w="5293" w:type="dxa"/>
          </w:tcPr>
          <w:p w14:paraId="7C89C49E" w14:textId="10CBA16A" w:rsidR="00B468A1" w:rsidRDefault="00B468A1" w:rsidP="00B468A1">
            <w:r>
              <w:t>Newspaper</w:t>
            </w:r>
          </w:p>
        </w:tc>
      </w:tr>
      <w:tr w:rsidR="00B468A1" w14:paraId="6E3E7822" w14:textId="77777777" w:rsidTr="00F52EC1">
        <w:tc>
          <w:tcPr>
            <w:tcW w:w="1855" w:type="dxa"/>
          </w:tcPr>
          <w:p w14:paraId="2795930B" w14:textId="611FC18F" w:rsidR="00B468A1" w:rsidRDefault="00B468A1" w:rsidP="00B468A1">
            <w:r>
              <w:t>1</w:t>
            </w:r>
          </w:p>
        </w:tc>
        <w:tc>
          <w:tcPr>
            <w:tcW w:w="2212" w:type="dxa"/>
          </w:tcPr>
          <w:p w14:paraId="0240AF70" w14:textId="30CD5826" w:rsidR="00B468A1" w:rsidRDefault="00B468A1" w:rsidP="00B468A1">
            <w:r>
              <w:t>2</w:t>
            </w:r>
          </w:p>
        </w:tc>
        <w:tc>
          <w:tcPr>
            <w:tcW w:w="5293" w:type="dxa"/>
          </w:tcPr>
          <w:p w14:paraId="06971CF4" w14:textId="77777777" w:rsidR="00B468A1" w:rsidRDefault="00B468A1" w:rsidP="00B468A1">
            <w:r>
              <w:t>Magazines</w:t>
            </w:r>
          </w:p>
        </w:tc>
      </w:tr>
      <w:tr w:rsidR="00B468A1" w14:paraId="27493CF2" w14:textId="77777777" w:rsidTr="00F52EC1">
        <w:tc>
          <w:tcPr>
            <w:tcW w:w="1855" w:type="dxa"/>
          </w:tcPr>
          <w:p w14:paraId="42CFCD9B" w14:textId="1A517B1F" w:rsidR="00B468A1" w:rsidRDefault="00B468A1" w:rsidP="00B468A1">
            <w:r>
              <w:t>1</w:t>
            </w:r>
          </w:p>
        </w:tc>
        <w:tc>
          <w:tcPr>
            <w:tcW w:w="2212" w:type="dxa"/>
          </w:tcPr>
          <w:p w14:paraId="6D93A9B9" w14:textId="50BB7C4D" w:rsidR="00B468A1" w:rsidRDefault="00B468A1" w:rsidP="00B468A1">
            <w:r>
              <w:t>3</w:t>
            </w:r>
          </w:p>
        </w:tc>
        <w:tc>
          <w:tcPr>
            <w:tcW w:w="5293" w:type="dxa"/>
          </w:tcPr>
          <w:p w14:paraId="54E3192A" w14:textId="77777777" w:rsidR="00B468A1" w:rsidRDefault="00B468A1" w:rsidP="00B468A1">
            <w:r>
              <w:t>Radio</w:t>
            </w:r>
          </w:p>
        </w:tc>
      </w:tr>
      <w:tr w:rsidR="00B468A1" w14:paraId="5BEDCDCB" w14:textId="77777777" w:rsidTr="00F52EC1">
        <w:trPr>
          <w:trHeight w:val="107"/>
        </w:trPr>
        <w:tc>
          <w:tcPr>
            <w:tcW w:w="1855" w:type="dxa"/>
          </w:tcPr>
          <w:p w14:paraId="26FCA194" w14:textId="42ED0484" w:rsidR="00B468A1" w:rsidRDefault="00B468A1" w:rsidP="00B468A1">
            <w:r>
              <w:t>-</w:t>
            </w:r>
          </w:p>
        </w:tc>
        <w:tc>
          <w:tcPr>
            <w:tcW w:w="2212" w:type="dxa"/>
          </w:tcPr>
          <w:p w14:paraId="3FB3DDD7" w14:textId="448A9BCC" w:rsidR="00B468A1" w:rsidRDefault="00B468A1" w:rsidP="00B468A1">
            <w:r>
              <w:t>2</w:t>
            </w:r>
          </w:p>
        </w:tc>
        <w:tc>
          <w:tcPr>
            <w:tcW w:w="5293" w:type="dxa"/>
          </w:tcPr>
          <w:p w14:paraId="72525758" w14:textId="090DDAB1" w:rsidR="00B468A1" w:rsidRDefault="00B468A1" w:rsidP="00B468A1">
            <w:r>
              <w:t>Lessons taught (schools or community)</w:t>
            </w:r>
          </w:p>
        </w:tc>
      </w:tr>
      <w:tr w:rsidR="00B468A1" w14:paraId="57D10731" w14:textId="77777777" w:rsidTr="00F52EC1">
        <w:trPr>
          <w:trHeight w:val="107"/>
        </w:trPr>
        <w:tc>
          <w:tcPr>
            <w:tcW w:w="1855" w:type="dxa"/>
          </w:tcPr>
          <w:p w14:paraId="6A424CD0" w14:textId="19D314E5" w:rsidR="00B468A1" w:rsidRDefault="00B468A1" w:rsidP="00B468A1">
            <w:r>
              <w:t>-</w:t>
            </w:r>
          </w:p>
        </w:tc>
        <w:tc>
          <w:tcPr>
            <w:tcW w:w="2212" w:type="dxa"/>
          </w:tcPr>
          <w:p w14:paraId="0C89B915" w14:textId="1487AC44" w:rsidR="00B468A1" w:rsidRDefault="00B468A1" w:rsidP="00B468A1">
            <w:r>
              <w:t>2</w:t>
            </w:r>
          </w:p>
        </w:tc>
        <w:tc>
          <w:tcPr>
            <w:tcW w:w="5293" w:type="dxa"/>
          </w:tcPr>
          <w:p w14:paraId="1A8E153A" w14:textId="738B5D63" w:rsidR="00B468A1" w:rsidRDefault="00B468A1" w:rsidP="00B468A1">
            <w:r>
              <w:t>Doctor</w:t>
            </w:r>
          </w:p>
        </w:tc>
      </w:tr>
      <w:tr w:rsidR="00B468A1" w14:paraId="2EA03CF0" w14:textId="77777777" w:rsidTr="00F52EC1">
        <w:trPr>
          <w:trHeight w:val="107"/>
        </w:trPr>
        <w:tc>
          <w:tcPr>
            <w:tcW w:w="1855" w:type="dxa"/>
          </w:tcPr>
          <w:p w14:paraId="3294C1E8" w14:textId="1C1D9604" w:rsidR="00B468A1" w:rsidRDefault="00B468A1" w:rsidP="00B468A1">
            <w:r>
              <w:t>-</w:t>
            </w:r>
          </w:p>
        </w:tc>
        <w:tc>
          <w:tcPr>
            <w:tcW w:w="2212" w:type="dxa"/>
          </w:tcPr>
          <w:p w14:paraId="0FDFC22B" w14:textId="3610E78D" w:rsidR="00B468A1" w:rsidRDefault="00B468A1" w:rsidP="00B468A1">
            <w:r>
              <w:t>2</w:t>
            </w:r>
          </w:p>
        </w:tc>
        <w:tc>
          <w:tcPr>
            <w:tcW w:w="5293" w:type="dxa"/>
          </w:tcPr>
          <w:p w14:paraId="162899C8" w14:textId="418FECBB" w:rsidR="00B468A1" w:rsidRDefault="00B468A1" w:rsidP="00B468A1">
            <w:r>
              <w:t>Materials from public health offices</w:t>
            </w:r>
          </w:p>
        </w:tc>
      </w:tr>
      <w:tr w:rsidR="00B468A1" w14:paraId="3A7A6BB0" w14:textId="77777777" w:rsidTr="00F52EC1">
        <w:trPr>
          <w:trHeight w:val="107"/>
        </w:trPr>
        <w:tc>
          <w:tcPr>
            <w:tcW w:w="1855" w:type="dxa"/>
          </w:tcPr>
          <w:p w14:paraId="1D6F0CCB" w14:textId="01CF9194" w:rsidR="00B468A1" w:rsidRDefault="00B468A1" w:rsidP="00B468A1">
            <w:r>
              <w:t>-</w:t>
            </w:r>
          </w:p>
        </w:tc>
        <w:tc>
          <w:tcPr>
            <w:tcW w:w="2212" w:type="dxa"/>
          </w:tcPr>
          <w:p w14:paraId="484A96B9" w14:textId="6A50E3B9" w:rsidR="00B468A1" w:rsidRDefault="00B468A1" w:rsidP="00B468A1">
            <w:r>
              <w:t>1</w:t>
            </w:r>
          </w:p>
        </w:tc>
        <w:tc>
          <w:tcPr>
            <w:tcW w:w="5293" w:type="dxa"/>
          </w:tcPr>
          <w:p w14:paraId="7085076A" w14:textId="05821449" w:rsidR="00B468A1" w:rsidRDefault="00B468A1" w:rsidP="00B468A1">
            <w:r>
              <w:t>Media sources (unspecified)</w:t>
            </w:r>
          </w:p>
        </w:tc>
      </w:tr>
    </w:tbl>
    <w:p w14:paraId="1F194836" w14:textId="77777777" w:rsidR="0005420D" w:rsidRDefault="0005420D" w:rsidP="00235E86"/>
    <w:p w14:paraId="0FCCFDDC" w14:textId="47BEBE35" w:rsidR="00BB6409" w:rsidRPr="00BB6409" w:rsidRDefault="00227FE2" w:rsidP="00BB6409">
      <w:r w:rsidRPr="0029184A">
        <w:t xml:space="preserve">Out of the 23 sources reviewed, the </w:t>
      </w:r>
      <w:r w:rsidR="00231ABE">
        <w:t>methods reported being used the most to communicate fish consumption advisories include information provided with a fishing license or in fishing regulation booklets, signs or posters, brochures or printed materials</w:t>
      </w:r>
      <w:r w:rsidR="00FA20EF">
        <w:t>, press releases, and websites</w:t>
      </w:r>
      <w:r w:rsidR="00231ABE">
        <w:t xml:space="preserve">. However, the communication methods that were the </w:t>
      </w:r>
      <w:r w:rsidRPr="0029184A">
        <w:t>most</w:t>
      </w:r>
      <w:r w:rsidR="00855CFF">
        <w:t xml:space="preserve"> often cited as being </w:t>
      </w:r>
      <w:r w:rsidRPr="0029184A">
        <w:t>recalled</w:t>
      </w:r>
      <w:r w:rsidR="00231ABE">
        <w:t xml:space="preserve"> by </w:t>
      </w:r>
      <w:r w:rsidR="00855CFF">
        <w:t xml:space="preserve">study </w:t>
      </w:r>
      <w:r w:rsidR="00231ABE">
        <w:t>respondents</w:t>
      </w:r>
      <w:r w:rsidRPr="0029184A">
        <w:t xml:space="preserve"> </w:t>
      </w:r>
      <w:r w:rsidR="00231ABE">
        <w:t>were word</w:t>
      </w:r>
      <w:r w:rsidR="00FA20EF">
        <w:t xml:space="preserve"> </w:t>
      </w:r>
      <w:r w:rsidR="00231ABE">
        <w:t>of</w:t>
      </w:r>
      <w:r w:rsidR="00FA20EF">
        <w:t xml:space="preserve"> </w:t>
      </w:r>
      <w:r w:rsidR="00231ABE">
        <w:t>mouth, television, and</w:t>
      </w:r>
      <w:r w:rsidRPr="00BB6409">
        <w:t xml:space="preserve"> newspapers</w:t>
      </w:r>
      <w:r w:rsidR="00231ABE">
        <w:t xml:space="preserve">, with </w:t>
      </w:r>
      <w:r w:rsidR="00855CFF">
        <w:t xml:space="preserve">fewer studies noting respondent </w:t>
      </w:r>
      <w:r w:rsidR="00231ABE">
        <w:t xml:space="preserve">recalling information from signs, brochures, or </w:t>
      </w:r>
      <w:r w:rsidRPr="00BB6409">
        <w:t xml:space="preserve">fishing regulations guide booklets. </w:t>
      </w:r>
      <w:r w:rsidR="00BB6409" w:rsidRPr="00BB6409">
        <w:t xml:space="preserve">Because </w:t>
      </w:r>
      <w:r w:rsidR="00231ABE">
        <w:t xml:space="preserve">some of </w:t>
      </w:r>
      <w:r w:rsidR="00BB6409" w:rsidRPr="00BB6409">
        <w:t xml:space="preserve">this information is self-reported, there is no way to verify its accuracy. For example, in one study, participants said they recalled seeing advisory information on television, when in fact the jurisdiction didn’t use television as an outreach method at all. It is possible that those respondents heard a news story that mentioned the advisory in passing or that they heard about the advisory elsewhere and mistakenly thought they heard about it from television. </w:t>
      </w:r>
      <w:r w:rsidR="00231ABE">
        <w:t>Additionally, some studies report</w:t>
      </w:r>
      <w:r w:rsidR="00FA20EF">
        <w:t>ed</w:t>
      </w:r>
      <w:r w:rsidR="00231ABE">
        <w:t xml:space="preserve"> a method being used or recalled, but the method might not have been </w:t>
      </w:r>
      <w:r w:rsidR="00231ABE" w:rsidRPr="00673978">
        <w:rPr>
          <w:i/>
        </w:rPr>
        <w:t>frequently</w:t>
      </w:r>
      <w:r w:rsidR="00231ABE">
        <w:t xml:space="preserve"> used or </w:t>
      </w:r>
      <w:r w:rsidR="00855CFF" w:rsidRPr="00673978">
        <w:rPr>
          <w:i/>
        </w:rPr>
        <w:t>frequently</w:t>
      </w:r>
      <w:r w:rsidR="00855CFF">
        <w:t xml:space="preserve"> </w:t>
      </w:r>
      <w:r w:rsidR="00231ABE">
        <w:t xml:space="preserve">recalled. Therefore, this table </w:t>
      </w:r>
      <w:r w:rsidR="00855CFF">
        <w:t xml:space="preserve">can only </w:t>
      </w:r>
      <w:r w:rsidR="00231ABE">
        <w:t xml:space="preserve">provide a general idea </w:t>
      </w:r>
      <w:r w:rsidR="00855CFF">
        <w:t>regarding the</w:t>
      </w:r>
      <w:r w:rsidR="00231ABE">
        <w:t xml:space="preserve"> discrepancy between what is used and what is recalled. </w:t>
      </w:r>
      <w:r w:rsidR="00855CFF">
        <w:t xml:space="preserve">As noted earlier, because some studies did not provide information on what actual methods an agency used to get the word out about an advisory, it is difficult to determine which methods were effective and which were not.  </w:t>
      </w:r>
    </w:p>
    <w:p w14:paraId="2AFF71BA" w14:textId="31C47B4D" w:rsidR="00227FE2" w:rsidRDefault="00227FE2" w:rsidP="00227FE2">
      <w:r w:rsidRPr="001F641F">
        <w:t xml:space="preserve">Some studies showed that anglers, women in particular, preferred </w:t>
      </w:r>
      <w:r>
        <w:t>television</w:t>
      </w:r>
      <w:r w:rsidRPr="001F641F">
        <w:t xml:space="preserve"> or magazines. Many anglers, particularly</w:t>
      </w:r>
      <w:r>
        <w:t xml:space="preserve"> lower income and minority anglers, reported that they got their information mostly by word</w:t>
      </w:r>
      <w:r w:rsidR="00267ADF">
        <w:t xml:space="preserve"> </w:t>
      </w:r>
      <w:r>
        <w:t>of</w:t>
      </w:r>
      <w:r w:rsidR="00267ADF">
        <w:t xml:space="preserve"> </w:t>
      </w:r>
      <w:r>
        <w:t xml:space="preserve">mouth, which often included other anglers. Sometimes older anglers and esteemed members of the community were cited as the most valued sources of information. </w:t>
      </w:r>
    </w:p>
    <w:p w14:paraId="4C0D082D" w14:textId="7C082529" w:rsidR="00227FE2" w:rsidRDefault="00227FE2" w:rsidP="00227FE2">
      <w:r>
        <w:lastRenderedPageBreak/>
        <w:t xml:space="preserve">Only two of the studies reviewed (Gibson 2005 and Katner et al. 2011) compared the method by which the advisory information was </w:t>
      </w:r>
      <w:r w:rsidRPr="008D52CD">
        <w:rPr>
          <w:i/>
        </w:rPr>
        <w:t>received</w:t>
      </w:r>
      <w:r>
        <w:t xml:space="preserve"> by the audience with their </w:t>
      </w:r>
      <w:r w:rsidRPr="008D52CD">
        <w:rPr>
          <w:i/>
        </w:rPr>
        <w:t>preferred</w:t>
      </w:r>
      <w:r>
        <w:t xml:space="preserve"> method of receiving advisory information. For the most part, the method that was used lined up with what respondents stated were their preferred methods. Gibson (2005) noted that anglers in Washington, DC, reported becoming aware of fish consumption advisories primarily through television, newspapers, fishing regulation guide books, and signs/posters at fishing site. When those same anglers were asked about their preferred mode of receipt of advisory information, they ranked signs, television, newspaper, and personal contact with anglers as their most preferred methods. What is interesting about Gibson’s study is what he found when he looked at the effectiveness of advisory dissemination modes by determining how often a particular mode caused a change in anglers’ fish consumption behavior. He found that conversations with a game warden, radio announcements, fishing regulations booklets</w:t>
      </w:r>
      <w:r w:rsidR="00FA20EF">
        <w:t>,</w:t>
      </w:r>
      <w:r>
        <w:t xml:space="preserve"> and signs at fishing sites were most effective in terms of behavior change. Reading regulations books convinced 31 percent of anglers to change their consumption behavior, while 29 percent of anglers changed their consumption behavior after seeing signs (Gibson 2005).</w:t>
      </w:r>
    </w:p>
    <w:p w14:paraId="2A18C2F9" w14:textId="446BD516" w:rsidR="004E4C7A" w:rsidRDefault="002A4C0B" w:rsidP="003350B2">
      <w:pPr>
        <w:pStyle w:val="Heading2"/>
      </w:pPr>
      <w:r w:rsidRPr="002A4C0B">
        <w:t>Effectiveness of</w:t>
      </w:r>
      <w:r w:rsidR="004E4C7A">
        <w:t xml:space="preserve"> Advisory Communication</w:t>
      </w:r>
    </w:p>
    <w:p w14:paraId="558D8667" w14:textId="7ACDA2B7" w:rsidR="004E4C7A" w:rsidRDefault="00C00EB2" w:rsidP="00C00EB2">
      <w:r>
        <w:t>Thirteen of the articles quantitatively assessed knowledge of local fish consumption advisories. The average rate of awareness was 53 percent. Only three of the 13 studies found that less than 50 percent of the population assessed were aware of such advisories. Although more than half of the target audiences on average seem to be aware of advisories, whether they change their behavior as a result i</w:t>
      </w:r>
      <w:r w:rsidR="00F432B5">
        <w:t>s</w:t>
      </w:r>
      <w:r>
        <w:t xml:space="preserve"> what really matters in terms of effectiveness. Furthermore,</w:t>
      </w:r>
      <w:r w:rsidR="004E4C7A">
        <w:t xml:space="preserve"> the determination of whether advisories were effective or ineffective is subjective and based on self-reporting through surveys, focus groups, and interviews</w:t>
      </w:r>
      <w:r>
        <w:t xml:space="preserve">. In reviewing the literature, </w:t>
      </w:r>
      <w:r w:rsidR="004E4C7A">
        <w:t xml:space="preserve">the general impression is that most of the studies reviewed found the advisories to be ineffective overall. </w:t>
      </w:r>
      <w:r w:rsidR="008C0200">
        <w:t>Six</w:t>
      </w:r>
      <w:r w:rsidR="004E4C7A">
        <w:t xml:space="preserve"> studies reported advisories to be ineffective. In </w:t>
      </w:r>
      <w:r w:rsidR="008C0200">
        <w:t>12</w:t>
      </w:r>
      <w:r w:rsidR="004E4C7A">
        <w:t xml:space="preserve"> (more than half) of the studies, researchers did not specifically say whether the advisories were effective </w:t>
      </w:r>
      <w:r w:rsidR="00172672">
        <w:t>(</w:t>
      </w:r>
      <w:r w:rsidR="004E4C7A">
        <w:t>or they were not looking at specific advisory effectiveness</w:t>
      </w:r>
      <w:r w:rsidR="00172672">
        <w:t>);</w:t>
      </w:r>
      <w:r w:rsidR="004E4C7A">
        <w:t xml:space="preserve"> instead</w:t>
      </w:r>
      <w:r w:rsidR="00172672">
        <w:t>, they</w:t>
      </w:r>
      <w:r w:rsidR="004E4C7A">
        <w:t xml:space="preserve"> summarized literature reviews</w:t>
      </w:r>
      <w:r w:rsidR="009607B5">
        <w:t xml:space="preserve"> or discussed using audience research to prepare outreach materials</w:t>
      </w:r>
      <w:r w:rsidR="004E4C7A">
        <w:t>. Most of the studies reviewed used interviews, surveys</w:t>
      </w:r>
      <w:r w:rsidR="00172672">
        <w:t>,</w:t>
      </w:r>
      <w:r w:rsidR="004E4C7A">
        <w:t xml:space="preserve"> and/or focus groups to collect information on fish consumption behavior and advisory awareness</w:t>
      </w:r>
      <w:r w:rsidR="00172672">
        <w:t>;</w:t>
      </w:r>
      <w:r w:rsidR="004E4C7A">
        <w:t xml:space="preserve"> some studies, but not all, quantified their results. </w:t>
      </w:r>
    </w:p>
    <w:p w14:paraId="6ACD45B8" w14:textId="679357F1" w:rsidR="0042217B" w:rsidRPr="00D83F99" w:rsidRDefault="001F641F" w:rsidP="00DA5D8D">
      <w:r>
        <w:t xml:space="preserve">In </w:t>
      </w:r>
      <w:r w:rsidR="004E4C7A" w:rsidRPr="00C80454">
        <w:t xml:space="preserve">only </w:t>
      </w:r>
      <w:r w:rsidRPr="00C80454">
        <w:t>t</w:t>
      </w:r>
      <w:r w:rsidR="000966B8" w:rsidRPr="00C80454">
        <w:t xml:space="preserve">hree studies (Gibson 2005, Katner et al. 2011, and McDermott </w:t>
      </w:r>
      <w:r w:rsidR="004F4F5A" w:rsidRPr="00C80454">
        <w:t xml:space="preserve">2003) </w:t>
      </w:r>
      <w:r w:rsidR="004E4C7A" w:rsidRPr="00C80454">
        <w:t xml:space="preserve">did </w:t>
      </w:r>
      <w:r w:rsidRPr="00C80454">
        <w:t xml:space="preserve">researchers </w:t>
      </w:r>
      <w:r w:rsidR="004E4C7A" w:rsidRPr="00C80454">
        <w:t>feel that</w:t>
      </w:r>
      <w:r w:rsidR="004F4F5A" w:rsidRPr="00C80454">
        <w:t xml:space="preserve"> advisor</w:t>
      </w:r>
      <w:r w:rsidRPr="00C80454">
        <w:t xml:space="preserve">y </w:t>
      </w:r>
      <w:r w:rsidRPr="00D83F99">
        <w:t>communication was</w:t>
      </w:r>
      <w:r w:rsidR="004F4F5A" w:rsidRPr="00D83F99">
        <w:t xml:space="preserve"> e</w:t>
      </w:r>
      <w:r w:rsidR="000966B8" w:rsidRPr="00D83F99">
        <w:t>ffective</w:t>
      </w:r>
      <w:r w:rsidR="00172672" w:rsidRPr="00D83F99">
        <w:t>;</w:t>
      </w:r>
      <w:r w:rsidRPr="00D83F99">
        <w:t xml:space="preserve"> </w:t>
      </w:r>
      <w:r w:rsidR="000966B8" w:rsidRPr="00D83F99">
        <w:t xml:space="preserve">two </w:t>
      </w:r>
      <w:r w:rsidRPr="00D83F99">
        <w:t xml:space="preserve">other </w:t>
      </w:r>
      <w:r w:rsidR="000966B8" w:rsidRPr="00D83F99">
        <w:t xml:space="preserve">studies </w:t>
      </w:r>
      <w:r w:rsidR="004E4C7A" w:rsidRPr="00D83F99">
        <w:t>(</w:t>
      </w:r>
      <w:r w:rsidR="00C80454" w:rsidRPr="00D83F99">
        <w:t>Beehler et al. 2001 and Burger 2005</w:t>
      </w:r>
      <w:r w:rsidR="004E4C7A" w:rsidRPr="00D83F99">
        <w:t xml:space="preserve">) </w:t>
      </w:r>
      <w:r w:rsidRPr="00D83F99">
        <w:t>noted</w:t>
      </w:r>
      <w:r w:rsidR="000966B8" w:rsidRPr="00D83F99">
        <w:t xml:space="preserve"> </w:t>
      </w:r>
      <w:r w:rsidRPr="00D83F99">
        <w:t xml:space="preserve">advisory communication was only </w:t>
      </w:r>
      <w:r w:rsidR="000966B8" w:rsidRPr="00D83F99">
        <w:rPr>
          <w:i/>
        </w:rPr>
        <w:t>somewhat</w:t>
      </w:r>
      <w:r w:rsidR="000966B8" w:rsidRPr="00D83F99">
        <w:t xml:space="preserve"> effective</w:t>
      </w:r>
      <w:r w:rsidR="0042217B" w:rsidRPr="00D83F99">
        <w:t xml:space="preserve">. </w:t>
      </w:r>
    </w:p>
    <w:p w14:paraId="56D08703" w14:textId="11E68B50" w:rsidR="000966B8" w:rsidRPr="00D83F99" w:rsidRDefault="004E4C7A" w:rsidP="00DA5D8D">
      <w:r w:rsidRPr="00D83F99">
        <w:t xml:space="preserve">Details on the findings of the </w:t>
      </w:r>
      <w:r w:rsidR="000966B8" w:rsidRPr="00D83F99">
        <w:t xml:space="preserve">studies that </w:t>
      </w:r>
      <w:r w:rsidRPr="00D83F99">
        <w:t>noted</w:t>
      </w:r>
      <w:r w:rsidR="000966B8" w:rsidRPr="00D83F99">
        <w:t xml:space="preserve"> effective advisories </w:t>
      </w:r>
      <w:r w:rsidRPr="00D83F99">
        <w:t>are as follows</w:t>
      </w:r>
      <w:r w:rsidR="000966B8" w:rsidRPr="00D83F99">
        <w:t>:</w:t>
      </w:r>
    </w:p>
    <w:p w14:paraId="0D042DBC" w14:textId="5A3AA843" w:rsidR="00D83F99" w:rsidRPr="00D83F99" w:rsidRDefault="000966B8" w:rsidP="00D83F99">
      <w:pPr>
        <w:pStyle w:val="ListParagraph"/>
        <w:numPr>
          <w:ilvl w:val="0"/>
          <w:numId w:val="13"/>
        </w:numPr>
      </w:pPr>
      <w:r w:rsidRPr="00D83F99">
        <w:t xml:space="preserve">Gibson (2005) found that nearly all anglers who saw advisories </w:t>
      </w:r>
      <w:r w:rsidR="00D83F99" w:rsidRPr="00D83F99">
        <w:t xml:space="preserve">in the Washington, DC area </w:t>
      </w:r>
      <w:r w:rsidRPr="00D83F99">
        <w:t xml:space="preserve">felt the information was easy to understand, </w:t>
      </w:r>
      <w:r w:rsidR="00B55035" w:rsidRPr="00D83F99">
        <w:t>and</w:t>
      </w:r>
      <w:r w:rsidRPr="00D83F99">
        <w:t xml:space="preserve"> 26% of the overall population changed their eating habits as a result. </w:t>
      </w:r>
      <w:r w:rsidR="00B55035" w:rsidRPr="00D83F99">
        <w:t xml:space="preserve">Many anglers did not eat caught fish before they saw the advisory. </w:t>
      </w:r>
      <w:r w:rsidRPr="00D83F99">
        <w:t>African-Americans most commonly changed their consumption habits after seeing advisories (27%). Additionally, African-Americans placed the most importance in following fish advisories, with 89% believing that following consumption advisories was very important.</w:t>
      </w:r>
      <w:r w:rsidR="00B55035" w:rsidRPr="00D83F99">
        <w:t xml:space="preserve"> Signs were relatively effective among each race in communicating advisories</w:t>
      </w:r>
      <w:r w:rsidR="001458A4" w:rsidRPr="00D83F99">
        <w:t xml:space="preserve"> and were the most desired means of communication </w:t>
      </w:r>
      <w:r w:rsidR="003B6EFB" w:rsidRPr="00D83F99">
        <w:t>(</w:t>
      </w:r>
      <w:r w:rsidR="001458A4" w:rsidRPr="00D83F99">
        <w:t>94%)</w:t>
      </w:r>
      <w:r w:rsidR="00B55035" w:rsidRPr="00D83F99">
        <w:t>, but newspaper and television ad</w:t>
      </w:r>
      <w:r w:rsidR="00172672" w:rsidRPr="00D83F99">
        <w:t>vertisement</w:t>
      </w:r>
      <w:r w:rsidR="00B55035" w:rsidRPr="00D83F99">
        <w:t>s were far more prevalent.</w:t>
      </w:r>
      <w:r w:rsidR="00D83F99" w:rsidRPr="00D83F99">
        <w:t xml:space="preserve"> </w:t>
      </w:r>
      <w:r w:rsidR="00D83F99" w:rsidRPr="00D83F99">
        <w:lastRenderedPageBreak/>
        <w:t>When anglers in DC were asked which formats they would prefer to receive advisory information in, signs, newspaper, and word</w:t>
      </w:r>
      <w:r w:rsidR="00267ADF">
        <w:t xml:space="preserve"> </w:t>
      </w:r>
      <w:r w:rsidR="00D83F99" w:rsidRPr="00D83F99">
        <w:t>of</w:t>
      </w:r>
      <w:r w:rsidR="00267ADF">
        <w:t xml:space="preserve"> </w:t>
      </w:r>
      <w:r w:rsidR="00D83F99" w:rsidRPr="00D83F99">
        <w:t xml:space="preserve">mouth were the top three rated methods. Perhaps the rate of behavior change would have been even higher had advisory information been provided more frequently in those formats rather than </w:t>
      </w:r>
      <w:r w:rsidR="00FA20EF">
        <w:t xml:space="preserve">in </w:t>
      </w:r>
      <w:r w:rsidR="00D83F99" w:rsidRPr="00D83F99">
        <w:t>only the modes that were used by the DC Department of Health. According to Gibson, the health department does not have a formal protocol for outreach, but typically use</w:t>
      </w:r>
      <w:r w:rsidR="00FA20EF">
        <w:t>s</w:t>
      </w:r>
      <w:r w:rsidR="00D83F99" w:rsidRPr="00D83F99">
        <w:t xml:space="preserve"> the following methods: posting signs, occasional and infrequent press releases to media sources, internet press releases, information in regulations booklets, printed pamphlets and fact sheets, and providing information on the backs of fishing licenses.</w:t>
      </w:r>
    </w:p>
    <w:p w14:paraId="79CBF3AE" w14:textId="77777777" w:rsidR="00204974" w:rsidRDefault="00472020" w:rsidP="00D83F99">
      <w:pPr>
        <w:pStyle w:val="ListParagraph"/>
        <w:numPr>
          <w:ilvl w:val="0"/>
          <w:numId w:val="13"/>
        </w:numPr>
      </w:pPr>
      <w:r w:rsidRPr="00D83F99">
        <w:t xml:space="preserve">Katner et al (2011) </w:t>
      </w:r>
      <w:r w:rsidR="00172672" w:rsidRPr="00D83F99">
        <w:t xml:space="preserve">noted that </w:t>
      </w:r>
      <w:r w:rsidRPr="00D83F99">
        <w:t xml:space="preserve">30% of 1,040 respondents reported </w:t>
      </w:r>
      <w:r w:rsidR="00172672" w:rsidRPr="00D83F99">
        <w:t>changing</w:t>
      </w:r>
      <w:r w:rsidRPr="00D83F99">
        <w:t xml:space="preserve"> their </w:t>
      </w:r>
      <w:r w:rsidR="00D83F99" w:rsidRPr="00D83F99">
        <w:t xml:space="preserve">consumption </w:t>
      </w:r>
      <w:r w:rsidRPr="00D83F99">
        <w:t xml:space="preserve">behavior because of an advisory. </w:t>
      </w:r>
      <w:r w:rsidR="00D83F99" w:rsidRPr="00D83F99">
        <w:t xml:space="preserve">Of that 30%, one third </w:t>
      </w:r>
      <w:r w:rsidRPr="00D83F99">
        <w:t>stopped eating all fish from water bodies where health warnings have been</w:t>
      </w:r>
      <w:r>
        <w:t xml:space="preserve"> issued</w:t>
      </w:r>
      <w:r w:rsidR="00671AAF">
        <w:t>,</w:t>
      </w:r>
      <w:r>
        <w:t xml:space="preserve"> 27% ate </w:t>
      </w:r>
      <w:r w:rsidR="00671AAF">
        <w:t xml:space="preserve">fewer </w:t>
      </w:r>
      <w:r>
        <w:t>fish from water bodies with health warnings</w:t>
      </w:r>
      <w:r w:rsidR="00671AAF">
        <w:t>,</w:t>
      </w:r>
      <w:r>
        <w:t xml:space="preserve"> 25% ate more fish bought from a store or vendor</w:t>
      </w:r>
      <w:r w:rsidR="00671AAF">
        <w:t>,</w:t>
      </w:r>
      <w:r>
        <w:t xml:space="preserve"> 24% stopped eating certain types of fish from water</w:t>
      </w:r>
      <w:r w:rsidR="00172672">
        <w:t xml:space="preserve"> </w:t>
      </w:r>
      <w:r>
        <w:t>bodies under advisory</w:t>
      </w:r>
      <w:r w:rsidR="00671AAF">
        <w:t>,</w:t>
      </w:r>
      <w:r>
        <w:t xml:space="preserve"> 14% switched to another location, and 11% practiced catch</w:t>
      </w:r>
      <w:r w:rsidR="00671AAF">
        <w:t>-</w:t>
      </w:r>
      <w:r>
        <w:t>and</w:t>
      </w:r>
      <w:r w:rsidR="00671AAF">
        <w:t>-</w:t>
      </w:r>
      <w:r>
        <w:t xml:space="preserve">release. </w:t>
      </w:r>
      <w:r w:rsidR="00671AAF">
        <w:t xml:space="preserve">Awareness of advisories was attributed to six main avenues of communication: (1)  </w:t>
      </w:r>
      <w:r w:rsidR="00516729">
        <w:t>newspapers or magazines</w:t>
      </w:r>
      <w:r w:rsidR="00671AAF">
        <w:t xml:space="preserve"> (53%)</w:t>
      </w:r>
      <w:r w:rsidR="00516729">
        <w:t>; (2) television (48%)</w:t>
      </w:r>
      <w:r w:rsidR="00671AAF">
        <w:t>;</w:t>
      </w:r>
      <w:r w:rsidR="00516729">
        <w:t xml:space="preserve"> (3) family or friends (30%)</w:t>
      </w:r>
      <w:r w:rsidR="00671AAF">
        <w:t>;</w:t>
      </w:r>
      <w:r w:rsidR="00516729">
        <w:t xml:space="preserve"> (4) brochures or fishing regulation booklets (30%)</w:t>
      </w:r>
      <w:r w:rsidR="00671AAF">
        <w:t>;</w:t>
      </w:r>
      <w:r w:rsidR="00516729">
        <w:t xml:space="preserve"> (5) signs at bait shop, landing, boat launch and fishing sites (20%)</w:t>
      </w:r>
      <w:r w:rsidR="00671AAF">
        <w:t>;</w:t>
      </w:r>
      <w:r w:rsidR="00516729">
        <w:t xml:space="preserve"> and (6) radio (16%).</w:t>
      </w:r>
      <w:r w:rsidR="00D83F99">
        <w:t xml:space="preserve"> </w:t>
      </w:r>
    </w:p>
    <w:p w14:paraId="4EEDC274" w14:textId="1450E94A" w:rsidR="00472020" w:rsidRDefault="00472020" w:rsidP="00D83F99">
      <w:pPr>
        <w:pStyle w:val="ListParagraph"/>
        <w:numPr>
          <w:ilvl w:val="0"/>
          <w:numId w:val="13"/>
        </w:numPr>
      </w:pPr>
      <w:r>
        <w:t xml:space="preserve">McDermott (2003) developed a brochure </w:t>
      </w:r>
      <w:r w:rsidR="00B84033">
        <w:t xml:space="preserve">and a face-to-face lesson plan </w:t>
      </w:r>
      <w:r>
        <w:t>to communicate fish consumption advisories</w:t>
      </w:r>
      <w:r w:rsidR="009607B5">
        <w:t xml:space="preserve"> to low-income women of childbearing age</w:t>
      </w:r>
      <w:r w:rsidR="00B84033">
        <w:t>.</w:t>
      </w:r>
      <w:r>
        <w:t xml:space="preserve"> </w:t>
      </w:r>
      <w:r w:rsidR="00843A1A">
        <w:t xml:space="preserve">They tested the brochure with a focus group, made revisions, and tested again with another focus group. </w:t>
      </w:r>
      <w:r w:rsidR="00B84033" w:rsidRPr="007354A5">
        <w:t xml:space="preserve">The text, read at the fifth grade level, was as short as possible and much of the story was told in pictures. Two languages were available (English and Spanish); the Spanish version avoided words that had different meanings for Puerto Ricans and Mexicans. </w:t>
      </w:r>
      <w:r w:rsidR="00671AAF">
        <w:t xml:space="preserve">Of those who read the brochure, </w:t>
      </w:r>
      <w:r>
        <w:t xml:space="preserve">72% thought that “it is not a good idea” to eat fish from the port. Some stated that all fish in Newark Bay should not be eaten because of contamination, rather than just the six species listed in the advisory. </w:t>
      </w:r>
      <w:r w:rsidR="00671AAF">
        <w:t xml:space="preserve">When asked to interpret a figure, </w:t>
      </w:r>
      <w:r>
        <w:t xml:space="preserve">100% gave a response that was fundamentally correct (when the woman eats fish that is contaminated, the chemicals will “go to the baby”). </w:t>
      </w:r>
      <w:r w:rsidR="00671AAF">
        <w:t xml:space="preserve">The study found </w:t>
      </w:r>
      <w:r>
        <w:t>70% of respondents indicated an intention to change how they choose or prepare the fish they eat, which r</w:t>
      </w:r>
      <w:r w:rsidR="00671AAF">
        <w:t>ose</w:t>
      </w:r>
      <w:r>
        <w:t xml:space="preserve"> to 90% when applied only to women who reported that a family member goes fishing.</w:t>
      </w:r>
      <w:r w:rsidR="00B84033">
        <w:t xml:space="preserve"> This study also found that </w:t>
      </w:r>
      <w:r w:rsidR="00843A1A">
        <w:t>using multiple outreach methods (brochure and face-to-face communication) was more effective</w:t>
      </w:r>
      <w:r w:rsidR="0080711C">
        <w:t xml:space="preserve"> tha</w:t>
      </w:r>
      <w:r w:rsidR="00F432B5">
        <w:t>n</w:t>
      </w:r>
      <w:r w:rsidR="0080711C">
        <w:t xml:space="preserve"> printed material alone for communicating a health-related message</w:t>
      </w:r>
      <w:r w:rsidR="00843A1A">
        <w:t>.</w:t>
      </w:r>
    </w:p>
    <w:p w14:paraId="1F2FE6E7" w14:textId="27C36BEE" w:rsidR="00071AD3" w:rsidRDefault="009607B5" w:rsidP="00DA5D8D">
      <w:r>
        <w:t>Only t</w:t>
      </w:r>
      <w:r w:rsidR="00896409">
        <w:t xml:space="preserve">wo </w:t>
      </w:r>
      <w:r w:rsidR="00F27B35">
        <w:t>stud</w:t>
      </w:r>
      <w:r w:rsidR="00896409">
        <w:t>ies</w:t>
      </w:r>
      <w:r w:rsidR="00F27B35">
        <w:t xml:space="preserve"> interviewed or surveyed anglers before and after implementation of a new outreach method for fish consumption advisories. </w:t>
      </w:r>
      <w:r w:rsidR="00896409">
        <w:t xml:space="preserve">The first study </w:t>
      </w:r>
      <w:r w:rsidR="00B84033">
        <w:t>is McDermott (2003), mentioned above. The second study</w:t>
      </w:r>
      <w:r w:rsidR="00C40A73">
        <w:t xml:space="preserve">, </w:t>
      </w:r>
      <w:r w:rsidR="00B84033">
        <w:t xml:space="preserve">LePrevost et al. </w:t>
      </w:r>
      <w:r w:rsidR="00C40A73">
        <w:t>(</w:t>
      </w:r>
      <w:r w:rsidR="00B84033">
        <w:t>2013)</w:t>
      </w:r>
      <w:r w:rsidR="00C40A73">
        <w:t>,</w:t>
      </w:r>
      <w:r w:rsidR="00B84033">
        <w:t xml:space="preserve"> </w:t>
      </w:r>
      <w:r w:rsidR="00896409">
        <w:t>looked at</w:t>
      </w:r>
      <w:r w:rsidR="00F60A30">
        <w:t xml:space="preserve"> Badin Lake in</w:t>
      </w:r>
      <w:r w:rsidR="00F27B35">
        <w:t xml:space="preserve"> North Carolina and found tha</w:t>
      </w:r>
      <w:r w:rsidR="00F60A30">
        <w:t>t after installing a detailed sign at 25 access points around the lake, knowledge of the fish consumption advisory increased from 32</w:t>
      </w:r>
      <w:r w:rsidR="00204974">
        <w:t>%</w:t>
      </w:r>
      <w:r w:rsidR="00F60A30">
        <w:t xml:space="preserve"> of peopl</w:t>
      </w:r>
      <w:r w:rsidR="00204974">
        <w:t>e being aware of the sign to 51%</w:t>
      </w:r>
      <w:r w:rsidR="004E4C7A">
        <w:t>. However, despite becoming more aware, m</w:t>
      </w:r>
      <w:r w:rsidR="00F60A30">
        <w:t xml:space="preserve">any commented that the signs were not eye-catching and were difficult to read. The authors felt that future signs should be larger and more colorful and </w:t>
      </w:r>
      <w:r w:rsidR="00A40792">
        <w:t xml:space="preserve">be </w:t>
      </w:r>
      <w:r w:rsidR="00F60A30">
        <w:t>designed to reach sensitive subpopulations.</w:t>
      </w:r>
    </w:p>
    <w:p w14:paraId="331668BF" w14:textId="3B354908" w:rsidR="00F84F13" w:rsidRPr="00F84F13" w:rsidRDefault="00F84F13" w:rsidP="003350B2">
      <w:pPr>
        <w:pStyle w:val="Heading2"/>
      </w:pPr>
      <w:r w:rsidRPr="00F84F13">
        <w:lastRenderedPageBreak/>
        <w:t>Reasons for Ineffectiveness</w:t>
      </w:r>
    </w:p>
    <w:p w14:paraId="03498125" w14:textId="2F0AE47C" w:rsidR="00F84F13" w:rsidRDefault="004E4C7A" w:rsidP="00F27B35">
      <w:r>
        <w:t xml:space="preserve">Most of the articles reviewed provided </w:t>
      </w:r>
      <w:r w:rsidR="00F84F13">
        <w:t xml:space="preserve">quite a bit of </w:t>
      </w:r>
      <w:r>
        <w:t>insight on why advisories in various states might not have been effective</w:t>
      </w:r>
      <w:r w:rsidR="008D52CD">
        <w:t xml:space="preserve"> or how they should be improved</w:t>
      </w:r>
      <w:r>
        <w:t xml:space="preserve">. </w:t>
      </w:r>
      <w:r w:rsidR="008D52CD">
        <w:t>The</w:t>
      </w:r>
      <w:r w:rsidR="00F84F13">
        <w:t xml:space="preserve"> reasons for ineffectiveness can be grouped into two broad categories:</w:t>
      </w:r>
    </w:p>
    <w:p w14:paraId="54AF0D5F" w14:textId="23FF08AC" w:rsidR="00F84F13" w:rsidRDefault="00F84F13" w:rsidP="00F84F13">
      <w:pPr>
        <w:pStyle w:val="ListParagraph"/>
        <w:numPr>
          <w:ilvl w:val="0"/>
          <w:numId w:val="12"/>
        </w:numPr>
      </w:pPr>
      <w:r>
        <w:t>In</w:t>
      </w:r>
      <w:r w:rsidR="00A40792">
        <w:t>e</w:t>
      </w:r>
      <w:r>
        <w:t>f</w:t>
      </w:r>
      <w:r w:rsidR="00A40792">
        <w:t>f</w:t>
      </w:r>
      <w:r>
        <w:t>ectiveness in terms of awareness and understanding of the advisory information</w:t>
      </w:r>
    </w:p>
    <w:p w14:paraId="0BBA010A" w14:textId="206EF7ED" w:rsidR="00F27B35" w:rsidRDefault="00F84F13" w:rsidP="00F84F13">
      <w:pPr>
        <w:pStyle w:val="ListParagraph"/>
        <w:numPr>
          <w:ilvl w:val="0"/>
          <w:numId w:val="12"/>
        </w:numPr>
      </w:pPr>
      <w:r>
        <w:t xml:space="preserve">Ineffectiveness in terms of perception and behavior </w:t>
      </w:r>
      <w:r w:rsidR="000672F9">
        <w:t>habits</w:t>
      </w:r>
    </w:p>
    <w:p w14:paraId="4F17C5F2" w14:textId="5D2F1453" w:rsidR="00802051" w:rsidRDefault="00F84F13" w:rsidP="00F84F13">
      <w:r>
        <w:t xml:space="preserve">Table </w:t>
      </w:r>
      <w:r w:rsidR="009D50A8">
        <w:t>6</w:t>
      </w:r>
      <w:r>
        <w:t xml:space="preserve"> lists the reasons </w:t>
      </w:r>
      <w:r w:rsidR="00A40792">
        <w:t>that</w:t>
      </w:r>
      <w:r>
        <w:t xml:space="preserve"> researchers</w:t>
      </w:r>
      <w:r w:rsidR="00A40792">
        <w:t xml:space="preserve"> provided to explain</w:t>
      </w:r>
      <w:r>
        <w:t xml:space="preserve"> why advisories might not have been effective in terms of </w:t>
      </w:r>
      <w:r w:rsidR="00A40792">
        <w:t xml:space="preserve">(1) </w:t>
      </w:r>
      <w:r>
        <w:t xml:space="preserve">making sure target audiences are aware that an advisory exists or </w:t>
      </w:r>
      <w:r w:rsidR="00A40792">
        <w:t>(2)</w:t>
      </w:r>
      <w:r>
        <w:t xml:space="preserve"> making sure the language used in the outreach materials is understandable by the audience. </w:t>
      </w:r>
      <w:r w:rsidR="00DB1F55">
        <w:t xml:space="preserve">The reason that most frequently appeared across studies is the lack of understanding </w:t>
      </w:r>
      <w:r w:rsidR="000672F9">
        <w:t>among</w:t>
      </w:r>
      <w:r w:rsidR="00DB1F55">
        <w:t xml:space="preserve"> target audiences about the heightened risks that children or women of childbearing age face when eating contaminated fish.</w:t>
      </w:r>
      <w:r w:rsidR="000672F9">
        <w:t xml:space="preserve"> Little understanding about pollution and bioaccumulation, as well as lengthy, confusi</w:t>
      </w:r>
      <w:r w:rsidR="00A40792">
        <w:t>ng</w:t>
      </w:r>
      <w:r w:rsidR="000672F9">
        <w:t xml:space="preserve"> language</w:t>
      </w:r>
      <w:r w:rsidR="00A40792">
        <w:t>,</w:t>
      </w:r>
      <w:r w:rsidR="000672F9">
        <w:t xml:space="preserve"> also ranked high in terms of frequently reported reasons for ineffectiveness.</w:t>
      </w:r>
      <w:r w:rsidR="00DB1F55">
        <w:t xml:space="preserve"> </w:t>
      </w:r>
    </w:p>
    <w:p w14:paraId="7008FDDD" w14:textId="7F126996" w:rsidR="00C00EB2" w:rsidRDefault="00C00EB2" w:rsidP="00F84F13">
      <w:r>
        <w:t>Table 7 lists the reasons that researchers provided to explain why advisories might not have been effective in terms of perceptions about health risks and consumption habits/behaviors. Distrust of government information sources was most frequently listed as a reason why anglers continue to eat fish despite advisories. Of the 11 studies that specifically mentioned this reason, three specifically targeted minority populations (Latino, African-American, and Asian). Also frequently mentioned is the lack of visual cues that would indicate a diseased or contaminated fish. When anglers see what appears to be a normal, healthy fish, they assume it is safe to eat, despite knowing about the advisory.</w:t>
      </w:r>
      <w:r w:rsidR="00F432B5">
        <w:t xml:space="preserve"> This barrier needs to be overcome.</w:t>
      </w:r>
    </w:p>
    <w:tbl>
      <w:tblPr>
        <w:tblStyle w:val="TableGrid"/>
        <w:tblW w:w="0" w:type="auto"/>
        <w:tblLook w:val="04A0" w:firstRow="1" w:lastRow="0" w:firstColumn="1" w:lastColumn="0" w:noHBand="0" w:noVBand="1"/>
      </w:tblPr>
      <w:tblGrid>
        <w:gridCol w:w="990"/>
        <w:gridCol w:w="8360"/>
      </w:tblGrid>
      <w:tr w:rsidR="00802051" w:rsidRPr="00802051" w14:paraId="51A1ED6B" w14:textId="77777777" w:rsidTr="00802051">
        <w:trPr>
          <w:trHeight w:val="300"/>
        </w:trPr>
        <w:tc>
          <w:tcPr>
            <w:tcW w:w="9350" w:type="dxa"/>
            <w:gridSpan w:val="2"/>
            <w:tcBorders>
              <w:top w:val="nil"/>
              <w:left w:val="nil"/>
              <w:bottom w:val="single" w:sz="4" w:space="0" w:color="auto"/>
              <w:right w:val="nil"/>
            </w:tcBorders>
            <w:shd w:val="clear" w:color="auto" w:fill="auto"/>
            <w:noWrap/>
          </w:tcPr>
          <w:p w14:paraId="0D069C2C" w14:textId="1E74B97D" w:rsidR="00802051" w:rsidRPr="00802051" w:rsidRDefault="00802051">
            <w:pPr>
              <w:rPr>
                <w:b/>
              </w:rPr>
            </w:pPr>
            <w:r>
              <w:rPr>
                <w:b/>
              </w:rPr>
              <w:t xml:space="preserve">Table </w:t>
            </w:r>
            <w:r w:rsidR="009D50A8">
              <w:rPr>
                <w:b/>
              </w:rPr>
              <w:t>6</w:t>
            </w:r>
            <w:r>
              <w:rPr>
                <w:b/>
              </w:rPr>
              <w:t xml:space="preserve">. Reasons for </w:t>
            </w:r>
            <w:r w:rsidR="00FD1E6F">
              <w:rPr>
                <w:b/>
              </w:rPr>
              <w:t>i</w:t>
            </w:r>
            <w:r w:rsidR="000672F9">
              <w:rPr>
                <w:b/>
              </w:rPr>
              <w:t>neff</w:t>
            </w:r>
            <w:r>
              <w:rPr>
                <w:b/>
              </w:rPr>
              <w:t xml:space="preserve">ectiveness in </w:t>
            </w:r>
            <w:r w:rsidR="00FD1E6F">
              <w:rPr>
                <w:b/>
              </w:rPr>
              <w:t>t</w:t>
            </w:r>
            <w:r>
              <w:rPr>
                <w:b/>
              </w:rPr>
              <w:t xml:space="preserve">erms of </w:t>
            </w:r>
            <w:r w:rsidR="00FD1E6F">
              <w:rPr>
                <w:b/>
              </w:rPr>
              <w:t>a</w:t>
            </w:r>
            <w:r>
              <w:rPr>
                <w:b/>
              </w:rPr>
              <w:t xml:space="preserve">wareness and </w:t>
            </w:r>
            <w:r w:rsidR="00FD1E6F">
              <w:rPr>
                <w:b/>
              </w:rPr>
              <w:t>u</w:t>
            </w:r>
            <w:r>
              <w:rPr>
                <w:b/>
              </w:rPr>
              <w:t>nderstanding</w:t>
            </w:r>
          </w:p>
        </w:tc>
      </w:tr>
      <w:tr w:rsidR="00802051" w:rsidRPr="00802051" w14:paraId="07BE7F5C" w14:textId="77777777" w:rsidTr="00802051">
        <w:trPr>
          <w:trHeight w:val="300"/>
        </w:trPr>
        <w:tc>
          <w:tcPr>
            <w:tcW w:w="990" w:type="dxa"/>
            <w:tcBorders>
              <w:top w:val="single" w:sz="4" w:space="0" w:color="auto"/>
            </w:tcBorders>
            <w:shd w:val="clear" w:color="auto" w:fill="BDD6EE" w:themeFill="accent1" w:themeFillTint="66"/>
            <w:noWrap/>
          </w:tcPr>
          <w:p w14:paraId="657D4BF6" w14:textId="41669C40" w:rsidR="00802051" w:rsidRPr="00802051" w:rsidRDefault="00802051">
            <w:pPr>
              <w:rPr>
                <w:b/>
              </w:rPr>
            </w:pPr>
            <w:r w:rsidRPr="00802051">
              <w:rPr>
                <w:b/>
              </w:rPr>
              <w:t xml:space="preserve"># of </w:t>
            </w:r>
            <w:r w:rsidR="00FD1E6F">
              <w:rPr>
                <w:b/>
              </w:rPr>
              <w:t>s</w:t>
            </w:r>
            <w:r w:rsidRPr="00802051">
              <w:rPr>
                <w:b/>
              </w:rPr>
              <w:t>tudies</w:t>
            </w:r>
            <w:r>
              <w:rPr>
                <w:b/>
              </w:rPr>
              <w:t xml:space="preserve"> </w:t>
            </w:r>
            <w:r w:rsidR="00FD1E6F">
              <w:rPr>
                <w:b/>
              </w:rPr>
              <w:t>c</w:t>
            </w:r>
            <w:r>
              <w:rPr>
                <w:b/>
              </w:rPr>
              <w:t>ited In</w:t>
            </w:r>
          </w:p>
        </w:tc>
        <w:tc>
          <w:tcPr>
            <w:tcW w:w="8360" w:type="dxa"/>
            <w:tcBorders>
              <w:top w:val="single" w:sz="4" w:space="0" w:color="auto"/>
            </w:tcBorders>
            <w:shd w:val="clear" w:color="auto" w:fill="BDD6EE" w:themeFill="accent1" w:themeFillTint="66"/>
            <w:vAlign w:val="bottom"/>
          </w:tcPr>
          <w:p w14:paraId="12D81C33" w14:textId="18852BC7" w:rsidR="00802051" w:rsidRPr="00802051" w:rsidRDefault="00802051">
            <w:pPr>
              <w:rPr>
                <w:b/>
              </w:rPr>
            </w:pPr>
            <w:r w:rsidRPr="00802051">
              <w:rPr>
                <w:b/>
              </w:rPr>
              <w:t xml:space="preserve">Reason for </w:t>
            </w:r>
            <w:r w:rsidR="00FD1E6F">
              <w:rPr>
                <w:b/>
              </w:rPr>
              <w:t>i</w:t>
            </w:r>
            <w:r w:rsidRPr="00802051">
              <w:rPr>
                <w:b/>
              </w:rPr>
              <w:t>neffectiveness</w:t>
            </w:r>
          </w:p>
        </w:tc>
      </w:tr>
      <w:tr w:rsidR="00802051" w:rsidRPr="00802051" w14:paraId="4E9A3D9A" w14:textId="77777777" w:rsidTr="00802051">
        <w:trPr>
          <w:trHeight w:val="300"/>
        </w:trPr>
        <w:tc>
          <w:tcPr>
            <w:tcW w:w="990" w:type="dxa"/>
            <w:noWrap/>
            <w:hideMark/>
          </w:tcPr>
          <w:p w14:paraId="3994FE91" w14:textId="77777777" w:rsidR="00802051" w:rsidRPr="00802051" w:rsidRDefault="00802051" w:rsidP="00802051">
            <w:r w:rsidRPr="00802051">
              <w:t>6</w:t>
            </w:r>
          </w:p>
        </w:tc>
        <w:tc>
          <w:tcPr>
            <w:tcW w:w="8360" w:type="dxa"/>
            <w:hideMark/>
          </w:tcPr>
          <w:p w14:paraId="23F6D01A" w14:textId="77777777" w:rsidR="00802051" w:rsidRPr="00802051" w:rsidRDefault="00802051">
            <w:r w:rsidRPr="00802051">
              <w:t>Lack of understanding regarding chronic health effects or about populations who face different risk levels (e.g., children, unborn)</w:t>
            </w:r>
          </w:p>
        </w:tc>
      </w:tr>
      <w:tr w:rsidR="00802051" w:rsidRPr="00802051" w14:paraId="27F2E02D" w14:textId="77777777" w:rsidTr="00802051">
        <w:trPr>
          <w:trHeight w:val="300"/>
        </w:trPr>
        <w:tc>
          <w:tcPr>
            <w:tcW w:w="990" w:type="dxa"/>
            <w:noWrap/>
            <w:hideMark/>
          </w:tcPr>
          <w:p w14:paraId="0E3A13B7" w14:textId="77777777" w:rsidR="00802051" w:rsidRPr="00802051" w:rsidRDefault="00802051" w:rsidP="00802051">
            <w:r w:rsidRPr="00802051">
              <w:t>5</w:t>
            </w:r>
          </w:p>
        </w:tc>
        <w:tc>
          <w:tcPr>
            <w:tcW w:w="8360" w:type="dxa"/>
            <w:hideMark/>
          </w:tcPr>
          <w:p w14:paraId="651313FE" w14:textId="77777777" w:rsidR="00802051" w:rsidRPr="00802051" w:rsidRDefault="00802051">
            <w:r w:rsidRPr="00802051">
              <w:t>Lack of understanding regarding pollutants and bioaccumulation</w:t>
            </w:r>
          </w:p>
        </w:tc>
      </w:tr>
      <w:tr w:rsidR="00802051" w:rsidRPr="00802051" w14:paraId="1F1BF1ED" w14:textId="77777777" w:rsidTr="00802051">
        <w:trPr>
          <w:trHeight w:val="300"/>
        </w:trPr>
        <w:tc>
          <w:tcPr>
            <w:tcW w:w="990" w:type="dxa"/>
            <w:noWrap/>
            <w:hideMark/>
          </w:tcPr>
          <w:p w14:paraId="2B8EDD37" w14:textId="77777777" w:rsidR="00802051" w:rsidRPr="00802051" w:rsidRDefault="00802051" w:rsidP="00802051">
            <w:r w:rsidRPr="00802051">
              <w:t>4</w:t>
            </w:r>
          </w:p>
        </w:tc>
        <w:tc>
          <w:tcPr>
            <w:tcW w:w="8360" w:type="dxa"/>
            <w:hideMark/>
          </w:tcPr>
          <w:p w14:paraId="22C949AB" w14:textId="5EB1C6F8" w:rsidR="00802051" w:rsidRPr="00802051" w:rsidRDefault="00802051">
            <w:r>
              <w:t>Too much detail provided/</w:t>
            </w:r>
            <w:r w:rsidRPr="00802051">
              <w:t>need more graphics</w:t>
            </w:r>
          </w:p>
        </w:tc>
      </w:tr>
      <w:tr w:rsidR="00802051" w:rsidRPr="00802051" w14:paraId="3FCCE320" w14:textId="77777777" w:rsidTr="00802051">
        <w:trPr>
          <w:trHeight w:val="300"/>
        </w:trPr>
        <w:tc>
          <w:tcPr>
            <w:tcW w:w="990" w:type="dxa"/>
            <w:noWrap/>
            <w:hideMark/>
          </w:tcPr>
          <w:p w14:paraId="0E1CCB8C" w14:textId="77777777" w:rsidR="00802051" w:rsidRPr="00802051" w:rsidRDefault="00802051" w:rsidP="00802051">
            <w:r w:rsidRPr="00802051">
              <w:t>4</w:t>
            </w:r>
          </w:p>
        </w:tc>
        <w:tc>
          <w:tcPr>
            <w:tcW w:w="8360" w:type="dxa"/>
            <w:hideMark/>
          </w:tcPr>
          <w:p w14:paraId="01B9610D" w14:textId="77777777" w:rsidR="00802051" w:rsidRPr="00802051" w:rsidRDefault="00802051">
            <w:r w:rsidRPr="00802051">
              <w:t>Confusing language/information; government jargon; reading level is too high</w:t>
            </w:r>
          </w:p>
        </w:tc>
      </w:tr>
      <w:tr w:rsidR="00802051" w:rsidRPr="00802051" w14:paraId="4DDCABB1" w14:textId="77777777" w:rsidTr="00802051">
        <w:trPr>
          <w:trHeight w:val="300"/>
        </w:trPr>
        <w:tc>
          <w:tcPr>
            <w:tcW w:w="990" w:type="dxa"/>
            <w:noWrap/>
            <w:hideMark/>
          </w:tcPr>
          <w:p w14:paraId="32320D55" w14:textId="77777777" w:rsidR="00802051" w:rsidRPr="00802051" w:rsidRDefault="00802051" w:rsidP="00802051">
            <w:r w:rsidRPr="00802051">
              <w:t>4</w:t>
            </w:r>
          </w:p>
        </w:tc>
        <w:tc>
          <w:tcPr>
            <w:tcW w:w="8360" w:type="dxa"/>
            <w:hideMark/>
          </w:tcPr>
          <w:p w14:paraId="45364407" w14:textId="77777777" w:rsidR="00802051" w:rsidRPr="00802051" w:rsidRDefault="00802051">
            <w:r w:rsidRPr="00802051">
              <w:t>Information not provided in other languages</w:t>
            </w:r>
          </w:p>
        </w:tc>
      </w:tr>
      <w:tr w:rsidR="00802051" w:rsidRPr="00802051" w14:paraId="04BB2E5B" w14:textId="77777777" w:rsidTr="00802051">
        <w:trPr>
          <w:trHeight w:val="300"/>
        </w:trPr>
        <w:tc>
          <w:tcPr>
            <w:tcW w:w="990" w:type="dxa"/>
            <w:noWrap/>
            <w:hideMark/>
          </w:tcPr>
          <w:p w14:paraId="25B37567" w14:textId="77777777" w:rsidR="00802051" w:rsidRPr="00802051" w:rsidRDefault="00802051" w:rsidP="00802051">
            <w:r w:rsidRPr="00802051">
              <w:t>4</w:t>
            </w:r>
          </w:p>
        </w:tc>
        <w:tc>
          <w:tcPr>
            <w:tcW w:w="8360" w:type="dxa"/>
            <w:hideMark/>
          </w:tcPr>
          <w:p w14:paraId="70ABAA8F" w14:textId="77777777" w:rsidR="00802051" w:rsidRPr="00802051" w:rsidRDefault="00802051">
            <w:r w:rsidRPr="00802051">
              <w:t>Lack of  targeting to women who are more likely to be responsible for making meal/cooking decisions</w:t>
            </w:r>
          </w:p>
        </w:tc>
      </w:tr>
      <w:tr w:rsidR="00802051" w:rsidRPr="00802051" w14:paraId="4EB78963" w14:textId="77777777" w:rsidTr="00802051">
        <w:trPr>
          <w:trHeight w:val="300"/>
        </w:trPr>
        <w:tc>
          <w:tcPr>
            <w:tcW w:w="990" w:type="dxa"/>
            <w:noWrap/>
            <w:hideMark/>
          </w:tcPr>
          <w:p w14:paraId="1BEE1D05" w14:textId="77777777" w:rsidR="00802051" w:rsidRPr="00802051" w:rsidRDefault="00802051" w:rsidP="00802051">
            <w:r w:rsidRPr="00802051">
              <w:t>3</w:t>
            </w:r>
          </w:p>
        </w:tc>
        <w:tc>
          <w:tcPr>
            <w:tcW w:w="8360" w:type="dxa"/>
            <w:hideMark/>
          </w:tcPr>
          <w:p w14:paraId="18DC18FE" w14:textId="77777777" w:rsidR="00802051" w:rsidRPr="00802051" w:rsidRDefault="00802051">
            <w:r w:rsidRPr="00802051">
              <w:t>Multiple agencies distribute message differently</w:t>
            </w:r>
          </w:p>
        </w:tc>
      </w:tr>
      <w:tr w:rsidR="00802051" w:rsidRPr="00802051" w14:paraId="0FF1AB55" w14:textId="77777777" w:rsidTr="00802051">
        <w:trPr>
          <w:trHeight w:val="300"/>
        </w:trPr>
        <w:tc>
          <w:tcPr>
            <w:tcW w:w="990" w:type="dxa"/>
            <w:noWrap/>
            <w:hideMark/>
          </w:tcPr>
          <w:p w14:paraId="721E6EE2" w14:textId="77777777" w:rsidR="00802051" w:rsidRPr="00802051" w:rsidRDefault="00802051" w:rsidP="00802051">
            <w:r w:rsidRPr="00802051">
              <w:t>3</w:t>
            </w:r>
          </w:p>
        </w:tc>
        <w:tc>
          <w:tcPr>
            <w:tcW w:w="8360" w:type="dxa"/>
            <w:hideMark/>
          </w:tcPr>
          <w:p w14:paraId="1490BEBA" w14:textId="77777777" w:rsidR="00802051" w:rsidRPr="00802051" w:rsidRDefault="00802051">
            <w:r w:rsidRPr="00802051">
              <w:t xml:space="preserve">Mismatch between dissemination method </w:t>
            </w:r>
            <w:r w:rsidRPr="00802051">
              <w:rPr>
                <w:i/>
                <w:iCs/>
              </w:rPr>
              <w:t>used</w:t>
            </w:r>
            <w:r w:rsidRPr="00802051">
              <w:t xml:space="preserve"> and dissemination </w:t>
            </w:r>
            <w:r w:rsidRPr="00802051">
              <w:rPr>
                <w:i/>
                <w:iCs/>
              </w:rPr>
              <w:t>preferred</w:t>
            </w:r>
          </w:p>
        </w:tc>
      </w:tr>
      <w:tr w:rsidR="00802051" w:rsidRPr="00802051" w14:paraId="3F170A4F" w14:textId="77777777" w:rsidTr="00802051">
        <w:trPr>
          <w:trHeight w:val="300"/>
        </w:trPr>
        <w:tc>
          <w:tcPr>
            <w:tcW w:w="990" w:type="dxa"/>
            <w:noWrap/>
            <w:hideMark/>
          </w:tcPr>
          <w:p w14:paraId="4546937A" w14:textId="77777777" w:rsidR="00802051" w:rsidRPr="00802051" w:rsidRDefault="00802051" w:rsidP="00802051">
            <w:r w:rsidRPr="00802051">
              <w:t>3</w:t>
            </w:r>
          </w:p>
        </w:tc>
        <w:tc>
          <w:tcPr>
            <w:tcW w:w="8360" w:type="dxa"/>
            <w:hideMark/>
          </w:tcPr>
          <w:p w14:paraId="3F94809E" w14:textId="77777777" w:rsidR="00802051" w:rsidRPr="00802051" w:rsidRDefault="00802051">
            <w:r w:rsidRPr="00802051">
              <w:t>Not all anglers obtain fishing licenses</w:t>
            </w:r>
          </w:p>
        </w:tc>
      </w:tr>
      <w:tr w:rsidR="00802051" w:rsidRPr="00802051" w14:paraId="69C7E041" w14:textId="77777777" w:rsidTr="00802051">
        <w:trPr>
          <w:trHeight w:val="300"/>
        </w:trPr>
        <w:tc>
          <w:tcPr>
            <w:tcW w:w="990" w:type="dxa"/>
            <w:noWrap/>
            <w:hideMark/>
          </w:tcPr>
          <w:p w14:paraId="71F35B87" w14:textId="77777777" w:rsidR="00802051" w:rsidRPr="00802051" w:rsidRDefault="00802051" w:rsidP="00802051">
            <w:r w:rsidRPr="00802051">
              <w:t>2</w:t>
            </w:r>
          </w:p>
        </w:tc>
        <w:tc>
          <w:tcPr>
            <w:tcW w:w="8360" w:type="dxa"/>
            <w:hideMark/>
          </w:tcPr>
          <w:p w14:paraId="200B3A4A" w14:textId="47ED33AE" w:rsidR="00802051" w:rsidRPr="00802051" w:rsidRDefault="00802051" w:rsidP="00B37086">
            <w:r w:rsidRPr="00802051">
              <w:t>Lack of information permanence (temp</w:t>
            </w:r>
            <w:r w:rsidR="00A40792">
              <w:t>orary</w:t>
            </w:r>
            <w:r w:rsidRPr="00802051">
              <w:t xml:space="preserve"> signage/fleeting press release)</w:t>
            </w:r>
          </w:p>
        </w:tc>
      </w:tr>
      <w:tr w:rsidR="00802051" w:rsidRPr="00802051" w14:paraId="2690B3F1" w14:textId="77777777" w:rsidTr="00802051">
        <w:trPr>
          <w:trHeight w:val="300"/>
        </w:trPr>
        <w:tc>
          <w:tcPr>
            <w:tcW w:w="990" w:type="dxa"/>
            <w:noWrap/>
            <w:hideMark/>
          </w:tcPr>
          <w:p w14:paraId="33F3005F" w14:textId="77777777" w:rsidR="00802051" w:rsidRPr="00802051" w:rsidRDefault="00802051" w:rsidP="00802051">
            <w:r w:rsidRPr="00802051">
              <w:t>1</w:t>
            </w:r>
          </w:p>
        </w:tc>
        <w:tc>
          <w:tcPr>
            <w:tcW w:w="8360" w:type="dxa"/>
            <w:hideMark/>
          </w:tcPr>
          <w:p w14:paraId="0C61FF6D" w14:textId="77777777" w:rsidR="00802051" w:rsidRPr="00802051" w:rsidRDefault="00802051">
            <w:r w:rsidRPr="00802051">
              <w:t>Political/technical disagreement on what should be covered in advisory or outreach materials</w:t>
            </w:r>
          </w:p>
        </w:tc>
      </w:tr>
      <w:tr w:rsidR="00802051" w:rsidRPr="00802051" w14:paraId="2F655543" w14:textId="77777777" w:rsidTr="00802051">
        <w:trPr>
          <w:trHeight w:val="300"/>
        </w:trPr>
        <w:tc>
          <w:tcPr>
            <w:tcW w:w="990" w:type="dxa"/>
            <w:noWrap/>
            <w:hideMark/>
          </w:tcPr>
          <w:p w14:paraId="1853F8FF" w14:textId="77777777" w:rsidR="00802051" w:rsidRPr="00802051" w:rsidRDefault="00802051" w:rsidP="00802051">
            <w:r w:rsidRPr="00802051">
              <w:t>1</w:t>
            </w:r>
          </w:p>
        </w:tc>
        <w:tc>
          <w:tcPr>
            <w:tcW w:w="8360" w:type="dxa"/>
            <w:hideMark/>
          </w:tcPr>
          <w:p w14:paraId="68841D4F" w14:textId="77777777" w:rsidR="00802051" w:rsidRPr="00802051" w:rsidRDefault="00802051">
            <w:r w:rsidRPr="00802051">
              <w:t>Confusion on which agency is responsible for outreach</w:t>
            </w:r>
          </w:p>
        </w:tc>
      </w:tr>
      <w:tr w:rsidR="00802051" w:rsidRPr="00802051" w14:paraId="43C7909F" w14:textId="77777777" w:rsidTr="00321C6B">
        <w:trPr>
          <w:trHeight w:val="300"/>
        </w:trPr>
        <w:tc>
          <w:tcPr>
            <w:tcW w:w="9350" w:type="dxa"/>
            <w:gridSpan w:val="2"/>
            <w:tcBorders>
              <w:top w:val="nil"/>
              <w:left w:val="nil"/>
              <w:bottom w:val="single" w:sz="4" w:space="0" w:color="auto"/>
              <w:right w:val="nil"/>
            </w:tcBorders>
            <w:shd w:val="clear" w:color="auto" w:fill="auto"/>
            <w:noWrap/>
          </w:tcPr>
          <w:p w14:paraId="46E7C042" w14:textId="23F19A62" w:rsidR="00802051" w:rsidRPr="00802051" w:rsidRDefault="00802051" w:rsidP="00F432B5">
            <w:pPr>
              <w:pageBreakBefore/>
              <w:rPr>
                <w:b/>
              </w:rPr>
            </w:pPr>
            <w:r>
              <w:rPr>
                <w:b/>
              </w:rPr>
              <w:lastRenderedPageBreak/>
              <w:t xml:space="preserve">Table </w:t>
            </w:r>
            <w:r w:rsidR="009D50A8">
              <w:rPr>
                <w:b/>
              </w:rPr>
              <w:t>7</w:t>
            </w:r>
            <w:r>
              <w:rPr>
                <w:b/>
              </w:rPr>
              <w:t xml:space="preserve">. Reasons for </w:t>
            </w:r>
            <w:r w:rsidR="00FD1E6F">
              <w:rPr>
                <w:b/>
              </w:rPr>
              <w:t>i</w:t>
            </w:r>
            <w:r w:rsidR="000672F9">
              <w:rPr>
                <w:b/>
              </w:rPr>
              <w:t>nef</w:t>
            </w:r>
            <w:r>
              <w:rPr>
                <w:b/>
              </w:rPr>
              <w:t xml:space="preserve">fectiveness in </w:t>
            </w:r>
            <w:r w:rsidR="00FD1E6F">
              <w:rPr>
                <w:b/>
              </w:rPr>
              <w:t>t</w:t>
            </w:r>
            <w:r>
              <w:rPr>
                <w:b/>
              </w:rPr>
              <w:t xml:space="preserve">erms of </w:t>
            </w:r>
            <w:r w:rsidR="00FD1E6F">
              <w:rPr>
                <w:b/>
              </w:rPr>
              <w:t>p</w:t>
            </w:r>
            <w:r>
              <w:rPr>
                <w:b/>
              </w:rPr>
              <w:t>erception/</w:t>
            </w:r>
            <w:r w:rsidR="00FD1E6F">
              <w:rPr>
                <w:b/>
              </w:rPr>
              <w:t>b</w:t>
            </w:r>
            <w:r>
              <w:rPr>
                <w:b/>
              </w:rPr>
              <w:t>ehavior</w:t>
            </w:r>
          </w:p>
        </w:tc>
      </w:tr>
      <w:tr w:rsidR="00802051" w:rsidRPr="00802051" w14:paraId="3E739B94" w14:textId="77777777" w:rsidTr="00802051">
        <w:trPr>
          <w:trHeight w:val="300"/>
        </w:trPr>
        <w:tc>
          <w:tcPr>
            <w:tcW w:w="990" w:type="dxa"/>
            <w:tcBorders>
              <w:top w:val="single" w:sz="4" w:space="0" w:color="auto"/>
            </w:tcBorders>
            <w:shd w:val="clear" w:color="auto" w:fill="BDD6EE" w:themeFill="accent1" w:themeFillTint="66"/>
            <w:noWrap/>
          </w:tcPr>
          <w:p w14:paraId="5A040C23" w14:textId="0357C396" w:rsidR="00802051" w:rsidRPr="00802051" w:rsidRDefault="00802051">
            <w:pPr>
              <w:rPr>
                <w:b/>
              </w:rPr>
            </w:pPr>
            <w:r w:rsidRPr="00802051">
              <w:rPr>
                <w:b/>
              </w:rPr>
              <w:t xml:space="preserve"># of </w:t>
            </w:r>
            <w:r w:rsidR="00FD1E6F">
              <w:rPr>
                <w:b/>
              </w:rPr>
              <w:t>s</w:t>
            </w:r>
            <w:r w:rsidRPr="00802051">
              <w:rPr>
                <w:b/>
              </w:rPr>
              <w:t>tudies</w:t>
            </w:r>
            <w:r>
              <w:rPr>
                <w:b/>
              </w:rPr>
              <w:t xml:space="preserve"> </w:t>
            </w:r>
            <w:r w:rsidR="00FD1E6F">
              <w:rPr>
                <w:b/>
              </w:rPr>
              <w:t>c</w:t>
            </w:r>
            <w:r>
              <w:rPr>
                <w:b/>
              </w:rPr>
              <w:t>ited In</w:t>
            </w:r>
          </w:p>
        </w:tc>
        <w:tc>
          <w:tcPr>
            <w:tcW w:w="8360" w:type="dxa"/>
            <w:tcBorders>
              <w:top w:val="single" w:sz="4" w:space="0" w:color="auto"/>
            </w:tcBorders>
            <w:shd w:val="clear" w:color="auto" w:fill="BDD6EE" w:themeFill="accent1" w:themeFillTint="66"/>
            <w:vAlign w:val="bottom"/>
          </w:tcPr>
          <w:p w14:paraId="68527587" w14:textId="58F70770" w:rsidR="00802051" w:rsidRPr="00802051" w:rsidRDefault="00802051" w:rsidP="00321C6B">
            <w:pPr>
              <w:rPr>
                <w:b/>
              </w:rPr>
            </w:pPr>
            <w:r w:rsidRPr="00802051">
              <w:rPr>
                <w:b/>
              </w:rPr>
              <w:t xml:space="preserve">Reason for </w:t>
            </w:r>
            <w:r w:rsidR="00FD1E6F">
              <w:rPr>
                <w:b/>
              </w:rPr>
              <w:t>i</w:t>
            </w:r>
            <w:r w:rsidRPr="00802051">
              <w:rPr>
                <w:b/>
              </w:rPr>
              <w:t>neffectiveness</w:t>
            </w:r>
          </w:p>
        </w:tc>
      </w:tr>
      <w:tr w:rsidR="00802051" w:rsidRPr="00802051" w14:paraId="7775887F" w14:textId="77777777" w:rsidTr="00802051">
        <w:trPr>
          <w:trHeight w:val="300"/>
        </w:trPr>
        <w:tc>
          <w:tcPr>
            <w:tcW w:w="990" w:type="dxa"/>
            <w:noWrap/>
            <w:vAlign w:val="bottom"/>
          </w:tcPr>
          <w:p w14:paraId="742446F1" w14:textId="646ADB58" w:rsidR="00802051" w:rsidRPr="00802051" w:rsidRDefault="00802051" w:rsidP="00802051">
            <w:r>
              <w:rPr>
                <w:rFonts w:ascii="Calibri" w:hAnsi="Calibri"/>
                <w:color w:val="000000"/>
              </w:rPr>
              <w:t>11</w:t>
            </w:r>
          </w:p>
        </w:tc>
        <w:tc>
          <w:tcPr>
            <w:tcW w:w="8360" w:type="dxa"/>
            <w:vAlign w:val="center"/>
          </w:tcPr>
          <w:p w14:paraId="2EC28503" w14:textId="17E54B80" w:rsidR="00802051" w:rsidRPr="00802051" w:rsidRDefault="00802051" w:rsidP="00802051">
            <w:r>
              <w:rPr>
                <w:rFonts w:ascii="Calibri" w:hAnsi="Calibri"/>
                <w:color w:val="000000"/>
              </w:rPr>
              <w:t>Distrust of government information</w:t>
            </w:r>
            <w:r w:rsidR="00A92C3A">
              <w:rPr>
                <w:rFonts w:ascii="Calibri" w:hAnsi="Calibri"/>
                <w:color w:val="000000"/>
              </w:rPr>
              <w:t>;</w:t>
            </w:r>
            <w:r>
              <w:rPr>
                <w:rFonts w:ascii="Calibri" w:hAnsi="Calibri"/>
                <w:color w:val="000000"/>
              </w:rPr>
              <w:t xml:space="preserve"> trust knowledge of community, friends, or themselves more</w:t>
            </w:r>
          </w:p>
        </w:tc>
      </w:tr>
      <w:tr w:rsidR="00802051" w:rsidRPr="00802051" w14:paraId="32C3A755" w14:textId="77777777" w:rsidTr="00802051">
        <w:trPr>
          <w:trHeight w:val="300"/>
        </w:trPr>
        <w:tc>
          <w:tcPr>
            <w:tcW w:w="990" w:type="dxa"/>
            <w:noWrap/>
            <w:vAlign w:val="bottom"/>
          </w:tcPr>
          <w:p w14:paraId="73026A1E" w14:textId="726DB308" w:rsidR="00802051" w:rsidRPr="00802051" w:rsidRDefault="00802051" w:rsidP="00802051">
            <w:r>
              <w:rPr>
                <w:rFonts w:ascii="Calibri" w:hAnsi="Calibri"/>
                <w:color w:val="000000"/>
              </w:rPr>
              <w:t>8</w:t>
            </w:r>
          </w:p>
        </w:tc>
        <w:tc>
          <w:tcPr>
            <w:tcW w:w="8360" w:type="dxa"/>
            <w:vAlign w:val="center"/>
          </w:tcPr>
          <w:p w14:paraId="3EADF603" w14:textId="528E31FC" w:rsidR="00802051" w:rsidRPr="00802051" w:rsidRDefault="00802051" w:rsidP="00B37086">
            <w:r>
              <w:rPr>
                <w:rFonts w:ascii="Calibri" w:hAnsi="Calibri"/>
                <w:color w:val="000000"/>
              </w:rPr>
              <w:t>Lack of visual cues indicating contaminated fish (e.g., sores/deformities, polluted water)</w:t>
            </w:r>
            <w:r w:rsidR="00A92C3A">
              <w:rPr>
                <w:rFonts w:ascii="Calibri" w:hAnsi="Calibri"/>
                <w:color w:val="000000"/>
              </w:rPr>
              <w:t xml:space="preserve">; </w:t>
            </w:r>
            <w:r>
              <w:rPr>
                <w:rFonts w:ascii="Calibri" w:hAnsi="Calibri"/>
                <w:color w:val="000000"/>
              </w:rPr>
              <w:t>think they can remove contaminated parts</w:t>
            </w:r>
          </w:p>
        </w:tc>
      </w:tr>
      <w:tr w:rsidR="00802051" w:rsidRPr="00802051" w14:paraId="1D647885" w14:textId="77777777" w:rsidTr="00802051">
        <w:trPr>
          <w:trHeight w:val="300"/>
        </w:trPr>
        <w:tc>
          <w:tcPr>
            <w:tcW w:w="990" w:type="dxa"/>
            <w:noWrap/>
            <w:vAlign w:val="bottom"/>
          </w:tcPr>
          <w:p w14:paraId="16F74458" w14:textId="757A219B" w:rsidR="00802051" w:rsidRPr="00802051" w:rsidRDefault="00802051" w:rsidP="00802051">
            <w:r>
              <w:rPr>
                <w:rFonts w:ascii="Calibri" w:hAnsi="Calibri"/>
                <w:color w:val="000000"/>
              </w:rPr>
              <w:t>6</w:t>
            </w:r>
          </w:p>
        </w:tc>
        <w:tc>
          <w:tcPr>
            <w:tcW w:w="8360" w:type="dxa"/>
            <w:vAlign w:val="center"/>
          </w:tcPr>
          <w:p w14:paraId="27059CFE" w14:textId="6FB0460F" w:rsidR="00802051" w:rsidRPr="00802051" w:rsidRDefault="00802051" w:rsidP="00802051">
            <w:r>
              <w:rPr>
                <w:rFonts w:ascii="Calibri" w:hAnsi="Calibri"/>
                <w:color w:val="000000"/>
              </w:rPr>
              <w:t>Significant emphasis on cultural or health importance of eating local fish</w:t>
            </w:r>
          </w:p>
        </w:tc>
      </w:tr>
      <w:tr w:rsidR="00802051" w:rsidRPr="00802051" w14:paraId="7D921212" w14:textId="77777777" w:rsidTr="00802051">
        <w:trPr>
          <w:trHeight w:val="300"/>
        </w:trPr>
        <w:tc>
          <w:tcPr>
            <w:tcW w:w="990" w:type="dxa"/>
            <w:noWrap/>
            <w:vAlign w:val="bottom"/>
          </w:tcPr>
          <w:p w14:paraId="32703B4B" w14:textId="69682022" w:rsidR="00802051" w:rsidRPr="00802051" w:rsidRDefault="00802051" w:rsidP="00802051">
            <w:r>
              <w:rPr>
                <w:rFonts w:ascii="Calibri" w:hAnsi="Calibri"/>
                <w:color w:val="000000"/>
              </w:rPr>
              <w:t>6</w:t>
            </w:r>
          </w:p>
        </w:tc>
        <w:tc>
          <w:tcPr>
            <w:tcW w:w="8360" w:type="dxa"/>
            <w:vAlign w:val="center"/>
          </w:tcPr>
          <w:p w14:paraId="169F6FD6" w14:textId="587CA8B5" w:rsidR="00802051" w:rsidRPr="00802051" w:rsidRDefault="00802051" w:rsidP="00802051">
            <w:r>
              <w:rPr>
                <w:rFonts w:ascii="Calibri" w:hAnsi="Calibri"/>
                <w:color w:val="000000"/>
              </w:rPr>
              <w:t>Lack of immediate human sickness among family/peers</w:t>
            </w:r>
          </w:p>
        </w:tc>
      </w:tr>
      <w:tr w:rsidR="00802051" w:rsidRPr="00802051" w14:paraId="74A9C410" w14:textId="77777777" w:rsidTr="00802051">
        <w:trPr>
          <w:trHeight w:val="300"/>
        </w:trPr>
        <w:tc>
          <w:tcPr>
            <w:tcW w:w="990" w:type="dxa"/>
            <w:noWrap/>
            <w:vAlign w:val="bottom"/>
          </w:tcPr>
          <w:p w14:paraId="67CC389E" w14:textId="5AA596AF" w:rsidR="00802051" w:rsidRPr="00802051" w:rsidRDefault="00802051" w:rsidP="00802051">
            <w:r>
              <w:rPr>
                <w:rFonts w:ascii="Calibri" w:hAnsi="Calibri"/>
                <w:color w:val="000000"/>
              </w:rPr>
              <w:t>5</w:t>
            </w:r>
          </w:p>
        </w:tc>
        <w:tc>
          <w:tcPr>
            <w:tcW w:w="8360" w:type="dxa"/>
            <w:vAlign w:val="center"/>
          </w:tcPr>
          <w:p w14:paraId="20A4FDCF" w14:textId="4160F9F3" w:rsidR="00802051" w:rsidRPr="00802051" w:rsidRDefault="00802051" w:rsidP="00802051">
            <w:r>
              <w:rPr>
                <w:rFonts w:ascii="Calibri" w:hAnsi="Calibri"/>
                <w:color w:val="000000"/>
              </w:rPr>
              <w:t>Need the fish as a food source</w:t>
            </w:r>
          </w:p>
        </w:tc>
      </w:tr>
      <w:tr w:rsidR="00802051" w:rsidRPr="00802051" w14:paraId="6B3A38EB" w14:textId="77777777" w:rsidTr="00802051">
        <w:trPr>
          <w:trHeight w:val="300"/>
        </w:trPr>
        <w:tc>
          <w:tcPr>
            <w:tcW w:w="990" w:type="dxa"/>
            <w:noWrap/>
            <w:vAlign w:val="bottom"/>
          </w:tcPr>
          <w:p w14:paraId="2FD3A029" w14:textId="1D92ABB7" w:rsidR="00802051" w:rsidRPr="00802051" w:rsidRDefault="00802051" w:rsidP="00802051">
            <w:r>
              <w:rPr>
                <w:rFonts w:ascii="Calibri" w:hAnsi="Calibri"/>
                <w:color w:val="000000"/>
              </w:rPr>
              <w:t>2</w:t>
            </w:r>
          </w:p>
        </w:tc>
        <w:tc>
          <w:tcPr>
            <w:tcW w:w="8360" w:type="dxa"/>
            <w:vAlign w:val="center"/>
          </w:tcPr>
          <w:p w14:paraId="64B41298" w14:textId="34206B23" w:rsidR="00802051" w:rsidRPr="00802051" w:rsidRDefault="00802051" w:rsidP="00B37086">
            <w:r>
              <w:rPr>
                <w:rFonts w:ascii="Calibri" w:hAnsi="Calibri"/>
                <w:color w:val="000000"/>
              </w:rPr>
              <w:t>Think it</w:t>
            </w:r>
            <w:r w:rsidR="00A92C3A">
              <w:rPr>
                <w:rFonts w:ascii="Calibri" w:hAnsi="Calibri"/>
                <w:color w:val="000000"/>
              </w:rPr>
              <w:t xml:space="preserve"> i</w:t>
            </w:r>
            <w:r>
              <w:rPr>
                <w:rFonts w:ascii="Calibri" w:hAnsi="Calibri"/>
                <w:color w:val="000000"/>
              </w:rPr>
              <w:t>s safer because it</w:t>
            </w:r>
            <w:r w:rsidR="00A92C3A">
              <w:rPr>
                <w:rFonts w:ascii="Calibri" w:hAnsi="Calibri"/>
                <w:color w:val="000000"/>
              </w:rPr>
              <w:t xml:space="preserve"> i</w:t>
            </w:r>
            <w:r>
              <w:rPr>
                <w:rFonts w:ascii="Calibri" w:hAnsi="Calibri"/>
                <w:color w:val="000000"/>
              </w:rPr>
              <w:t>s local</w:t>
            </w:r>
          </w:p>
        </w:tc>
      </w:tr>
    </w:tbl>
    <w:p w14:paraId="0910BA64" w14:textId="196DE4C4" w:rsidR="0098300E" w:rsidRDefault="0098300E" w:rsidP="003350B2">
      <w:pPr>
        <w:pStyle w:val="Heading2"/>
      </w:pPr>
      <w:r>
        <w:t xml:space="preserve">Recommendations </w:t>
      </w:r>
      <w:r w:rsidR="005657F7">
        <w:t xml:space="preserve">Provided in Literature </w:t>
      </w:r>
      <w:r>
        <w:t>for Improving Communication Methods</w:t>
      </w:r>
    </w:p>
    <w:p w14:paraId="0765D0CE" w14:textId="0EC1DA75" w:rsidR="002A4C0B" w:rsidRDefault="005664E5" w:rsidP="00DA5D8D">
      <w:r>
        <w:t xml:space="preserve">The majority of the reviewed studies indicated that fish advisories are ineffective; as a result, many of the studies included suggestions for improving future communication efforts. </w:t>
      </w:r>
      <w:r w:rsidR="000F2209">
        <w:t xml:space="preserve">For example, many authors noted that there was an overall lack of understanding about chronic health effects or the risk to different populations. Some of the recommendations provided that address this issue are to better educate anglers, include more details in the advisory about health risks, and integrate health care and social service workers into advisory education. One of the other most common reasons for advisory ineffectiveness is a distrust of government information and the preference to </w:t>
      </w:r>
      <w:r w:rsidR="00F432B5">
        <w:t>trust</w:t>
      </w:r>
      <w:r w:rsidR="000F2209">
        <w:t xml:space="preserve"> their own knowledge or that of friends or community members. Some of the recommendations provided in the reviewed documents that address this include improving the government’s relationships with anglers, building of trust, partnering with nonprofit</w:t>
      </w:r>
      <w:r w:rsidR="00B37086">
        <w:t xml:space="preserve"> group</w:t>
      </w:r>
      <w:r w:rsidR="000F2209">
        <w:t xml:space="preserve">s, and </w:t>
      </w:r>
      <w:r>
        <w:t>educating trusted community leaders about advisory information and asking them to help share the information with others.</w:t>
      </w:r>
      <w:r w:rsidR="000F2209">
        <w:t xml:space="preserve"> </w:t>
      </w:r>
      <w:r w:rsidR="0098300E">
        <w:t xml:space="preserve">Table </w:t>
      </w:r>
      <w:r w:rsidR="009D50A8">
        <w:t>8</w:t>
      </w:r>
      <w:r w:rsidR="0098300E">
        <w:t xml:space="preserve"> provides a brief overview of the key suggestions that </w:t>
      </w:r>
      <w:r w:rsidR="00321C6B">
        <w:t xml:space="preserve">were prevalent </w:t>
      </w:r>
      <w:r w:rsidR="0098300E">
        <w:t>in many of the studies.</w:t>
      </w:r>
    </w:p>
    <w:p w14:paraId="2E380597" w14:textId="77777777" w:rsidR="00C00EB2" w:rsidRDefault="00C00EB2" w:rsidP="00DA5D8D"/>
    <w:tbl>
      <w:tblPr>
        <w:tblStyle w:val="TableGrid"/>
        <w:tblW w:w="0" w:type="auto"/>
        <w:tblLook w:val="04A0" w:firstRow="1" w:lastRow="0" w:firstColumn="1" w:lastColumn="0" w:noHBand="0" w:noVBand="1"/>
      </w:tblPr>
      <w:tblGrid>
        <w:gridCol w:w="1620"/>
        <w:gridCol w:w="7730"/>
      </w:tblGrid>
      <w:tr w:rsidR="006D6056" w14:paraId="2BD94C50" w14:textId="77777777" w:rsidTr="00825394">
        <w:tc>
          <w:tcPr>
            <w:tcW w:w="9350" w:type="dxa"/>
            <w:gridSpan w:val="2"/>
            <w:tcBorders>
              <w:top w:val="nil"/>
              <w:left w:val="nil"/>
              <w:bottom w:val="nil"/>
              <w:right w:val="nil"/>
            </w:tcBorders>
            <w:shd w:val="clear" w:color="auto" w:fill="auto"/>
          </w:tcPr>
          <w:p w14:paraId="371E98D1" w14:textId="41C16836" w:rsidR="006D6056" w:rsidRPr="000A181D" w:rsidRDefault="006D6056">
            <w:pPr>
              <w:rPr>
                <w:b/>
              </w:rPr>
            </w:pPr>
            <w:r>
              <w:rPr>
                <w:b/>
              </w:rPr>
              <w:t xml:space="preserve">Table 8. Key </w:t>
            </w:r>
            <w:r w:rsidR="00525366">
              <w:rPr>
                <w:b/>
              </w:rPr>
              <w:t>r</w:t>
            </w:r>
            <w:r>
              <w:rPr>
                <w:b/>
              </w:rPr>
              <w:t xml:space="preserve">ecommendations to </w:t>
            </w:r>
            <w:r w:rsidR="00525366">
              <w:rPr>
                <w:b/>
              </w:rPr>
              <w:t>i</w:t>
            </w:r>
            <w:r>
              <w:rPr>
                <w:b/>
              </w:rPr>
              <w:t xml:space="preserve">mprove </w:t>
            </w:r>
            <w:r w:rsidR="00525366">
              <w:rPr>
                <w:b/>
              </w:rPr>
              <w:t>a</w:t>
            </w:r>
            <w:r>
              <w:rPr>
                <w:b/>
              </w:rPr>
              <w:t xml:space="preserve">dvisory </w:t>
            </w:r>
            <w:r w:rsidR="00525366">
              <w:rPr>
                <w:b/>
              </w:rPr>
              <w:t>c</w:t>
            </w:r>
            <w:r>
              <w:rPr>
                <w:b/>
              </w:rPr>
              <w:t>ommunication</w:t>
            </w:r>
          </w:p>
        </w:tc>
      </w:tr>
      <w:tr w:rsidR="006D6056" w14:paraId="699B3EF6" w14:textId="77777777" w:rsidTr="00920EC6">
        <w:trPr>
          <w:cantSplit/>
        </w:trPr>
        <w:tc>
          <w:tcPr>
            <w:tcW w:w="1620" w:type="dxa"/>
            <w:tcBorders>
              <w:top w:val="single" w:sz="4" w:space="0" w:color="auto"/>
              <w:bottom w:val="single" w:sz="4" w:space="0" w:color="auto"/>
            </w:tcBorders>
            <w:shd w:val="clear" w:color="auto" w:fill="BDD6EE" w:themeFill="accent1" w:themeFillTint="66"/>
          </w:tcPr>
          <w:p w14:paraId="4A51705B" w14:textId="4B1A9526" w:rsidR="006D6056" w:rsidRPr="000A181D" w:rsidRDefault="006D6056" w:rsidP="00825394">
            <w:pPr>
              <w:widowControl w:val="0"/>
              <w:rPr>
                <w:b/>
              </w:rPr>
            </w:pPr>
            <w:r>
              <w:rPr>
                <w:b/>
              </w:rPr>
              <w:t>Category</w:t>
            </w:r>
            <w:r w:rsidR="00920EC6">
              <w:rPr>
                <w:b/>
              </w:rPr>
              <w:t xml:space="preserve"> - # of studies cited in</w:t>
            </w:r>
          </w:p>
        </w:tc>
        <w:tc>
          <w:tcPr>
            <w:tcW w:w="7730" w:type="dxa"/>
            <w:tcBorders>
              <w:top w:val="single" w:sz="4" w:space="0" w:color="auto"/>
              <w:bottom w:val="single" w:sz="4" w:space="0" w:color="auto"/>
            </w:tcBorders>
            <w:shd w:val="clear" w:color="auto" w:fill="BDD6EE" w:themeFill="accent1" w:themeFillTint="66"/>
            <w:vAlign w:val="bottom"/>
          </w:tcPr>
          <w:p w14:paraId="31501DFD" w14:textId="77777777" w:rsidR="006D6056" w:rsidRPr="000A181D" w:rsidRDefault="006D6056" w:rsidP="00825394">
            <w:pPr>
              <w:widowControl w:val="0"/>
              <w:rPr>
                <w:b/>
              </w:rPr>
            </w:pPr>
            <w:r w:rsidRPr="000A181D">
              <w:rPr>
                <w:b/>
              </w:rPr>
              <w:t>Recommendation</w:t>
            </w:r>
          </w:p>
        </w:tc>
      </w:tr>
      <w:tr w:rsidR="006D6056" w14:paraId="291173BE" w14:textId="77777777" w:rsidTr="00825394">
        <w:tc>
          <w:tcPr>
            <w:tcW w:w="9350" w:type="dxa"/>
            <w:gridSpan w:val="2"/>
          </w:tcPr>
          <w:p w14:paraId="03CB4B39" w14:textId="77777777" w:rsidR="006D6056" w:rsidRPr="004B5D0E" w:rsidRDefault="006D6056" w:rsidP="00825394">
            <w:pPr>
              <w:rPr>
                <w:b/>
              </w:rPr>
            </w:pPr>
            <w:r w:rsidRPr="004B5D0E">
              <w:rPr>
                <w:b/>
              </w:rPr>
              <w:t>Language</w:t>
            </w:r>
          </w:p>
        </w:tc>
      </w:tr>
      <w:tr w:rsidR="00910E65" w14:paraId="5265485C" w14:textId="77777777" w:rsidTr="00920EC6">
        <w:tc>
          <w:tcPr>
            <w:tcW w:w="1620" w:type="dxa"/>
          </w:tcPr>
          <w:p w14:paraId="129D7FAC" w14:textId="367E7163" w:rsidR="00910E65" w:rsidRDefault="00910E65" w:rsidP="00920EC6">
            <w:pPr>
              <w:jc w:val="center"/>
            </w:pPr>
            <w:r>
              <w:t>3</w:t>
            </w:r>
          </w:p>
        </w:tc>
        <w:tc>
          <w:tcPr>
            <w:tcW w:w="7730" w:type="dxa"/>
          </w:tcPr>
          <w:p w14:paraId="3F37953E" w14:textId="1C8A35C3" w:rsidR="00910E65" w:rsidRDefault="00910E65" w:rsidP="00B37086">
            <w:r>
              <w:t xml:space="preserve">Use </w:t>
            </w:r>
            <w:r w:rsidR="00B37086">
              <w:t xml:space="preserve">fifth </w:t>
            </w:r>
            <w:r>
              <w:t>grade or below reading level</w:t>
            </w:r>
          </w:p>
        </w:tc>
      </w:tr>
      <w:tr w:rsidR="00910E65" w14:paraId="0F7EEBF9" w14:textId="77777777" w:rsidTr="00920EC6">
        <w:tc>
          <w:tcPr>
            <w:tcW w:w="1620" w:type="dxa"/>
          </w:tcPr>
          <w:p w14:paraId="1D92160B" w14:textId="79C95E51" w:rsidR="00910E65" w:rsidRDefault="00910E65" w:rsidP="00920EC6">
            <w:pPr>
              <w:jc w:val="center"/>
            </w:pPr>
            <w:r>
              <w:t>3</w:t>
            </w:r>
          </w:p>
        </w:tc>
        <w:tc>
          <w:tcPr>
            <w:tcW w:w="7730" w:type="dxa"/>
          </w:tcPr>
          <w:p w14:paraId="08646B8E" w14:textId="3D34491B" w:rsidR="00910E65" w:rsidRDefault="00910E65" w:rsidP="00910E65">
            <w:r>
              <w:t>Make it multilingual</w:t>
            </w:r>
          </w:p>
        </w:tc>
      </w:tr>
      <w:tr w:rsidR="00910E65" w14:paraId="4D72DE60" w14:textId="77777777" w:rsidTr="00920EC6">
        <w:tc>
          <w:tcPr>
            <w:tcW w:w="1620" w:type="dxa"/>
          </w:tcPr>
          <w:p w14:paraId="132F6A94" w14:textId="640F6DE0" w:rsidR="00910E65" w:rsidRDefault="00910E65" w:rsidP="00920EC6">
            <w:pPr>
              <w:jc w:val="center"/>
            </w:pPr>
            <w:r>
              <w:t>1</w:t>
            </w:r>
          </w:p>
        </w:tc>
        <w:tc>
          <w:tcPr>
            <w:tcW w:w="7730" w:type="dxa"/>
          </w:tcPr>
          <w:p w14:paraId="1D186F4F" w14:textId="7D3D2EA9" w:rsidR="00910E65" w:rsidRDefault="00910E65" w:rsidP="00B37086">
            <w:r>
              <w:t>Use plain language</w:t>
            </w:r>
            <w:r w:rsidR="00B37086">
              <w:t xml:space="preserve">; </w:t>
            </w:r>
            <w:r>
              <w:t>don’t use government-speak</w:t>
            </w:r>
          </w:p>
        </w:tc>
      </w:tr>
      <w:tr w:rsidR="00910E65" w14:paraId="3312B8B9" w14:textId="77777777" w:rsidTr="00920EC6">
        <w:tc>
          <w:tcPr>
            <w:tcW w:w="1620" w:type="dxa"/>
          </w:tcPr>
          <w:p w14:paraId="4AC9D6F3" w14:textId="77777777" w:rsidR="00910E65" w:rsidRDefault="00910E65" w:rsidP="00920EC6">
            <w:pPr>
              <w:jc w:val="center"/>
            </w:pPr>
            <w:r>
              <w:t>1</w:t>
            </w:r>
          </w:p>
        </w:tc>
        <w:tc>
          <w:tcPr>
            <w:tcW w:w="7730" w:type="dxa"/>
          </w:tcPr>
          <w:p w14:paraId="3C480C75" w14:textId="77777777" w:rsidR="00910E65" w:rsidRDefault="00910E65" w:rsidP="00910E65">
            <w:r>
              <w:t>Use a cajoling rather than commanding tone</w:t>
            </w:r>
          </w:p>
        </w:tc>
      </w:tr>
      <w:tr w:rsidR="00910E65" w14:paraId="056C3444" w14:textId="77777777" w:rsidTr="00920EC6">
        <w:tc>
          <w:tcPr>
            <w:tcW w:w="1620" w:type="dxa"/>
          </w:tcPr>
          <w:p w14:paraId="70457156" w14:textId="77777777" w:rsidR="00910E65" w:rsidRDefault="00910E65" w:rsidP="00920EC6">
            <w:pPr>
              <w:jc w:val="center"/>
            </w:pPr>
            <w:r>
              <w:t>1</w:t>
            </w:r>
          </w:p>
        </w:tc>
        <w:tc>
          <w:tcPr>
            <w:tcW w:w="7730" w:type="dxa"/>
          </w:tcPr>
          <w:p w14:paraId="3319F22B" w14:textId="77777777" w:rsidR="00910E65" w:rsidRDefault="00910E65" w:rsidP="00910E65">
            <w:r>
              <w:t>Use words such as “danger,” “warning,” “caution,” or “stop.”</w:t>
            </w:r>
          </w:p>
        </w:tc>
      </w:tr>
      <w:tr w:rsidR="00910E65" w14:paraId="5E8B73A9" w14:textId="77777777" w:rsidTr="00920EC6">
        <w:tc>
          <w:tcPr>
            <w:tcW w:w="1620" w:type="dxa"/>
          </w:tcPr>
          <w:p w14:paraId="231DC39C" w14:textId="77777777" w:rsidR="00910E65" w:rsidRDefault="00910E65" w:rsidP="00920EC6">
            <w:pPr>
              <w:jc w:val="center"/>
            </w:pPr>
            <w:r>
              <w:t>1</w:t>
            </w:r>
          </w:p>
        </w:tc>
        <w:tc>
          <w:tcPr>
            <w:tcW w:w="7730" w:type="dxa"/>
          </w:tcPr>
          <w:p w14:paraId="47E60646" w14:textId="77777777" w:rsidR="00910E65" w:rsidRDefault="00910E65" w:rsidP="00910E65">
            <w:r>
              <w:t>Make the message stark and serious</w:t>
            </w:r>
          </w:p>
        </w:tc>
      </w:tr>
      <w:tr w:rsidR="00910E65" w14:paraId="7E6B96DE" w14:textId="77777777" w:rsidTr="00825394">
        <w:tc>
          <w:tcPr>
            <w:tcW w:w="9350" w:type="dxa"/>
            <w:gridSpan w:val="2"/>
          </w:tcPr>
          <w:p w14:paraId="20552B51" w14:textId="2F340BC5" w:rsidR="00910E65" w:rsidRPr="004B5D0E" w:rsidRDefault="00910E65">
            <w:pPr>
              <w:rPr>
                <w:b/>
              </w:rPr>
            </w:pPr>
            <w:r>
              <w:rPr>
                <w:b/>
              </w:rPr>
              <w:t xml:space="preserve">Level of </w:t>
            </w:r>
            <w:r w:rsidR="00FD1E6F">
              <w:rPr>
                <w:b/>
              </w:rPr>
              <w:t>d</w:t>
            </w:r>
            <w:r w:rsidRPr="004B5D0E">
              <w:rPr>
                <w:b/>
              </w:rPr>
              <w:t>etail</w:t>
            </w:r>
          </w:p>
        </w:tc>
      </w:tr>
      <w:tr w:rsidR="00910E65" w14:paraId="6EF79A12" w14:textId="77777777" w:rsidTr="00920EC6">
        <w:tc>
          <w:tcPr>
            <w:tcW w:w="1620" w:type="dxa"/>
          </w:tcPr>
          <w:p w14:paraId="0087B7B1" w14:textId="77777777" w:rsidR="00910E65" w:rsidRDefault="00910E65" w:rsidP="00920EC6">
            <w:pPr>
              <w:jc w:val="center"/>
            </w:pPr>
            <w:r>
              <w:t>7</w:t>
            </w:r>
          </w:p>
        </w:tc>
        <w:tc>
          <w:tcPr>
            <w:tcW w:w="7730" w:type="dxa"/>
          </w:tcPr>
          <w:p w14:paraId="719EAA49" w14:textId="7AB46080" w:rsidR="00910E65" w:rsidRDefault="00910E65" w:rsidP="00B37086">
            <w:r>
              <w:t>Keep it simple</w:t>
            </w:r>
            <w:r w:rsidR="00B37086">
              <w:t>;</w:t>
            </w:r>
            <w:r>
              <w:t xml:space="preserve"> use concise and direct text</w:t>
            </w:r>
          </w:p>
        </w:tc>
      </w:tr>
      <w:tr w:rsidR="00825394" w14:paraId="78ECAC43" w14:textId="77777777" w:rsidTr="00920EC6">
        <w:tc>
          <w:tcPr>
            <w:tcW w:w="1620" w:type="dxa"/>
          </w:tcPr>
          <w:p w14:paraId="04C54D0D" w14:textId="6791F9C1" w:rsidR="00825394" w:rsidRDefault="00825394" w:rsidP="00920EC6">
            <w:pPr>
              <w:jc w:val="center"/>
            </w:pPr>
            <w:r>
              <w:t>3</w:t>
            </w:r>
          </w:p>
        </w:tc>
        <w:tc>
          <w:tcPr>
            <w:tcW w:w="7730" w:type="dxa"/>
          </w:tcPr>
          <w:p w14:paraId="6627625D" w14:textId="77777777" w:rsidR="00825394" w:rsidRDefault="00825394" w:rsidP="00825394">
            <w:r>
              <w:t>Include details:</w:t>
            </w:r>
          </w:p>
          <w:p w14:paraId="0FF5704A" w14:textId="77777777" w:rsidR="00825394" w:rsidRDefault="00825394" w:rsidP="00825394">
            <w:pPr>
              <w:pStyle w:val="ListParagraph"/>
              <w:numPr>
                <w:ilvl w:val="0"/>
                <w:numId w:val="6"/>
              </w:numPr>
            </w:pPr>
            <w:r>
              <w:t>Specific information on fish type, size, number, frequency</w:t>
            </w:r>
          </w:p>
          <w:p w14:paraId="06EE31B0" w14:textId="77777777" w:rsidR="00825394" w:rsidRDefault="00825394" w:rsidP="00825394">
            <w:pPr>
              <w:pStyle w:val="ListParagraph"/>
              <w:numPr>
                <w:ilvl w:val="0"/>
                <w:numId w:val="6"/>
              </w:numPr>
            </w:pPr>
            <w:r>
              <w:t>Adequately explain bioaccumulation</w:t>
            </w:r>
          </w:p>
          <w:p w14:paraId="2029A6B2" w14:textId="7AF4DB51" w:rsidR="00825394" w:rsidRDefault="00825394" w:rsidP="00825394">
            <w:pPr>
              <w:pStyle w:val="ListParagraph"/>
              <w:numPr>
                <w:ilvl w:val="0"/>
                <w:numId w:val="6"/>
              </w:numPr>
            </w:pPr>
            <w:r>
              <w:lastRenderedPageBreak/>
              <w:t>Adequately explain the risk of frequently eating contaminated fish</w:t>
            </w:r>
          </w:p>
        </w:tc>
      </w:tr>
      <w:tr w:rsidR="00825394" w14:paraId="186AC18A" w14:textId="77777777" w:rsidTr="00920EC6">
        <w:tc>
          <w:tcPr>
            <w:tcW w:w="1620" w:type="dxa"/>
          </w:tcPr>
          <w:p w14:paraId="2BDE8AF8" w14:textId="77777777" w:rsidR="00825394" w:rsidRDefault="00825394" w:rsidP="00920EC6">
            <w:pPr>
              <w:jc w:val="center"/>
            </w:pPr>
            <w:r>
              <w:lastRenderedPageBreak/>
              <w:t>1</w:t>
            </w:r>
          </w:p>
        </w:tc>
        <w:tc>
          <w:tcPr>
            <w:tcW w:w="7730" w:type="dxa"/>
          </w:tcPr>
          <w:p w14:paraId="13860B43" w14:textId="77777777" w:rsidR="00825394" w:rsidRDefault="00825394" w:rsidP="00825394">
            <w:r>
              <w:t>Address common misconceptions</w:t>
            </w:r>
          </w:p>
        </w:tc>
      </w:tr>
      <w:tr w:rsidR="00825394" w14:paraId="1D6C9F6C" w14:textId="77777777" w:rsidTr="00920EC6">
        <w:tc>
          <w:tcPr>
            <w:tcW w:w="1620" w:type="dxa"/>
          </w:tcPr>
          <w:p w14:paraId="01DE8B7E" w14:textId="77777777" w:rsidR="00825394" w:rsidRDefault="00825394" w:rsidP="00920EC6">
            <w:pPr>
              <w:jc w:val="center"/>
            </w:pPr>
            <w:r>
              <w:t>1</w:t>
            </w:r>
          </w:p>
        </w:tc>
        <w:tc>
          <w:tcPr>
            <w:tcW w:w="7730" w:type="dxa"/>
          </w:tcPr>
          <w:p w14:paraId="519A0989" w14:textId="77777777" w:rsidR="00825394" w:rsidRDefault="00825394" w:rsidP="00825394">
            <w:r>
              <w:t>Use a single integrated advisory recommending eating the safest fish and seafood</w:t>
            </w:r>
          </w:p>
        </w:tc>
      </w:tr>
      <w:tr w:rsidR="00825394" w14:paraId="2A934C27" w14:textId="77777777" w:rsidTr="00825394">
        <w:tc>
          <w:tcPr>
            <w:tcW w:w="9350" w:type="dxa"/>
            <w:gridSpan w:val="2"/>
          </w:tcPr>
          <w:p w14:paraId="6B2CA3C2" w14:textId="0C3E6D45" w:rsidR="00825394" w:rsidRPr="005664E5" w:rsidRDefault="005664E5" w:rsidP="00FD1E6F">
            <w:pPr>
              <w:rPr>
                <w:b/>
              </w:rPr>
            </w:pPr>
            <w:r w:rsidRPr="005664E5">
              <w:rPr>
                <w:b/>
              </w:rPr>
              <w:t>Appearance and visual impact</w:t>
            </w:r>
          </w:p>
        </w:tc>
      </w:tr>
      <w:tr w:rsidR="00825394" w14:paraId="0BDDF2D8" w14:textId="77777777" w:rsidTr="00920EC6">
        <w:tc>
          <w:tcPr>
            <w:tcW w:w="1620" w:type="dxa"/>
          </w:tcPr>
          <w:p w14:paraId="6FDD459D" w14:textId="77777777" w:rsidR="00825394" w:rsidRDefault="00825394" w:rsidP="00920EC6">
            <w:pPr>
              <w:jc w:val="center"/>
            </w:pPr>
            <w:r>
              <w:t>7</w:t>
            </w:r>
          </w:p>
        </w:tc>
        <w:tc>
          <w:tcPr>
            <w:tcW w:w="7730" w:type="dxa"/>
          </w:tcPr>
          <w:p w14:paraId="16C482E3" w14:textId="77777777" w:rsidR="00825394" w:rsidRDefault="00825394" w:rsidP="00825394">
            <w:r>
              <w:t>Use graphics and diagrams</w:t>
            </w:r>
          </w:p>
        </w:tc>
      </w:tr>
      <w:tr w:rsidR="00825394" w14:paraId="53BDFFBD" w14:textId="77777777" w:rsidTr="00920EC6">
        <w:tc>
          <w:tcPr>
            <w:tcW w:w="1620" w:type="dxa"/>
          </w:tcPr>
          <w:p w14:paraId="5CB9FAAB" w14:textId="77777777" w:rsidR="00825394" w:rsidRDefault="00825394" w:rsidP="00920EC6">
            <w:pPr>
              <w:jc w:val="center"/>
            </w:pPr>
            <w:r>
              <w:t>1</w:t>
            </w:r>
          </w:p>
        </w:tc>
        <w:tc>
          <w:tcPr>
            <w:tcW w:w="7730" w:type="dxa"/>
          </w:tcPr>
          <w:p w14:paraId="65D266C8" w14:textId="74E709D4" w:rsidR="00825394" w:rsidRDefault="00825394" w:rsidP="00B37086">
            <w:r>
              <w:t>Make sign bigger</w:t>
            </w:r>
            <w:r w:rsidR="00B37086">
              <w:t>;</w:t>
            </w:r>
            <w:r>
              <w:t xml:space="preserve"> add more color</w:t>
            </w:r>
            <w:r>
              <w:tab/>
            </w:r>
          </w:p>
        </w:tc>
      </w:tr>
      <w:tr w:rsidR="00825394" w14:paraId="5F1B0FFE" w14:textId="77777777" w:rsidTr="00825394">
        <w:tc>
          <w:tcPr>
            <w:tcW w:w="9350" w:type="dxa"/>
            <w:gridSpan w:val="2"/>
          </w:tcPr>
          <w:p w14:paraId="3B08E3E1" w14:textId="5E71099E" w:rsidR="00825394" w:rsidRPr="004B5D0E" w:rsidRDefault="00825394">
            <w:pPr>
              <w:rPr>
                <w:b/>
              </w:rPr>
            </w:pPr>
            <w:r>
              <w:rPr>
                <w:b/>
              </w:rPr>
              <w:t xml:space="preserve">Communication </w:t>
            </w:r>
            <w:r w:rsidR="00FD1E6F">
              <w:rPr>
                <w:b/>
              </w:rPr>
              <w:t>m</w:t>
            </w:r>
            <w:r w:rsidRPr="004B5D0E">
              <w:rPr>
                <w:b/>
              </w:rPr>
              <w:t>ethod</w:t>
            </w:r>
          </w:p>
        </w:tc>
      </w:tr>
      <w:tr w:rsidR="00825394" w14:paraId="5E7886B5" w14:textId="77777777" w:rsidTr="00920EC6">
        <w:tc>
          <w:tcPr>
            <w:tcW w:w="1620" w:type="dxa"/>
          </w:tcPr>
          <w:p w14:paraId="06554254" w14:textId="5093E363" w:rsidR="00825394" w:rsidRDefault="00825394" w:rsidP="00920EC6">
            <w:pPr>
              <w:jc w:val="center"/>
            </w:pPr>
            <w:r>
              <w:t>10</w:t>
            </w:r>
          </w:p>
        </w:tc>
        <w:tc>
          <w:tcPr>
            <w:tcW w:w="7730" w:type="dxa"/>
          </w:tcPr>
          <w:p w14:paraId="0FDE4E8F" w14:textId="54871C03" w:rsidR="00825394" w:rsidRDefault="00825394" w:rsidP="00825394">
            <w:r>
              <w:t>Target advisory messages to specific populations</w:t>
            </w:r>
          </w:p>
        </w:tc>
      </w:tr>
      <w:tr w:rsidR="00825394" w14:paraId="53788730" w14:textId="77777777" w:rsidTr="00920EC6">
        <w:tc>
          <w:tcPr>
            <w:tcW w:w="1620" w:type="dxa"/>
          </w:tcPr>
          <w:p w14:paraId="5BFED06D" w14:textId="2E2B6748" w:rsidR="00825394" w:rsidRDefault="00825394" w:rsidP="00920EC6">
            <w:pPr>
              <w:jc w:val="center"/>
            </w:pPr>
            <w:r>
              <w:t>5</w:t>
            </w:r>
          </w:p>
        </w:tc>
        <w:tc>
          <w:tcPr>
            <w:tcW w:w="7730" w:type="dxa"/>
          </w:tcPr>
          <w:p w14:paraId="598EB9BE" w14:textId="36B87B97" w:rsidR="00825394" w:rsidRDefault="00825394" w:rsidP="00B37086">
            <w:r>
              <w:t xml:space="preserve">Focus on reaching women of childbearing age, such as through doctors and clinics, since they are most at risk and often do </w:t>
            </w:r>
            <w:r w:rsidR="00B37086">
              <w:t>most</w:t>
            </w:r>
            <w:r>
              <w:t xml:space="preserve"> of the cooking at home</w:t>
            </w:r>
          </w:p>
        </w:tc>
      </w:tr>
      <w:tr w:rsidR="00825394" w14:paraId="18E70A91" w14:textId="77777777" w:rsidTr="00920EC6">
        <w:tc>
          <w:tcPr>
            <w:tcW w:w="1620" w:type="dxa"/>
          </w:tcPr>
          <w:p w14:paraId="2C417AA3" w14:textId="77777777" w:rsidR="00825394" w:rsidRDefault="00825394" w:rsidP="00920EC6">
            <w:pPr>
              <w:jc w:val="center"/>
            </w:pPr>
            <w:r>
              <w:t>4</w:t>
            </w:r>
          </w:p>
        </w:tc>
        <w:tc>
          <w:tcPr>
            <w:tcW w:w="7730" w:type="dxa"/>
          </w:tcPr>
          <w:p w14:paraId="670A8040" w14:textId="77777777" w:rsidR="00825394" w:rsidRDefault="00825394" w:rsidP="00825394">
            <w:r>
              <w:t>Use multiple methods of outreach</w:t>
            </w:r>
          </w:p>
        </w:tc>
      </w:tr>
      <w:tr w:rsidR="00825394" w14:paraId="6A596E10" w14:textId="77777777" w:rsidTr="00920EC6">
        <w:tc>
          <w:tcPr>
            <w:tcW w:w="1620" w:type="dxa"/>
          </w:tcPr>
          <w:p w14:paraId="728D250E" w14:textId="77777777" w:rsidR="00825394" w:rsidRDefault="00825394" w:rsidP="00920EC6">
            <w:pPr>
              <w:jc w:val="center"/>
            </w:pPr>
            <w:r>
              <w:t>4</w:t>
            </w:r>
          </w:p>
        </w:tc>
        <w:tc>
          <w:tcPr>
            <w:tcW w:w="7730" w:type="dxa"/>
          </w:tcPr>
          <w:p w14:paraId="2BD375C2" w14:textId="1C86E276" w:rsidR="00825394" w:rsidRDefault="005664E5" w:rsidP="00825394">
            <w:r>
              <w:t>Engage</w:t>
            </w:r>
            <w:r w:rsidR="00825394">
              <w:t xml:space="preserve"> community leaders, including those in the fishing community (elders in particular) as well as prominent church members</w:t>
            </w:r>
            <w:r>
              <w:t>, to learn about and share information</w:t>
            </w:r>
            <w:r w:rsidR="00825394">
              <w:t>.</w:t>
            </w:r>
          </w:p>
        </w:tc>
      </w:tr>
      <w:tr w:rsidR="00825394" w14:paraId="4E11C836" w14:textId="77777777" w:rsidTr="00920EC6">
        <w:tc>
          <w:tcPr>
            <w:tcW w:w="1620" w:type="dxa"/>
          </w:tcPr>
          <w:p w14:paraId="03E04CCF" w14:textId="77777777" w:rsidR="00825394" w:rsidRDefault="00825394" w:rsidP="00920EC6">
            <w:pPr>
              <w:jc w:val="center"/>
            </w:pPr>
            <w:r>
              <w:t>3</w:t>
            </w:r>
          </w:p>
        </w:tc>
        <w:tc>
          <w:tcPr>
            <w:tcW w:w="7730" w:type="dxa"/>
          </w:tcPr>
          <w:p w14:paraId="4EEF5161" w14:textId="44598C7F" w:rsidR="00825394" w:rsidRDefault="005664E5" w:rsidP="00825394">
            <w:r>
              <w:t>Share information at</w:t>
            </w:r>
            <w:r w:rsidR="00825394">
              <w:t xml:space="preserve"> social events</w:t>
            </w:r>
          </w:p>
        </w:tc>
      </w:tr>
      <w:tr w:rsidR="00825394" w14:paraId="5381C9FB" w14:textId="77777777" w:rsidTr="00920EC6">
        <w:tc>
          <w:tcPr>
            <w:tcW w:w="1620" w:type="dxa"/>
          </w:tcPr>
          <w:p w14:paraId="3C1EE548" w14:textId="77777777" w:rsidR="00825394" w:rsidRDefault="00825394" w:rsidP="00920EC6">
            <w:pPr>
              <w:jc w:val="center"/>
            </w:pPr>
            <w:r>
              <w:t>3</w:t>
            </w:r>
          </w:p>
        </w:tc>
        <w:tc>
          <w:tcPr>
            <w:tcW w:w="7730" w:type="dxa"/>
          </w:tcPr>
          <w:p w14:paraId="084ED659" w14:textId="77777777" w:rsidR="00825394" w:rsidRDefault="00825394" w:rsidP="00825394">
            <w:r>
              <w:t>Use signs, especially permanent</w:t>
            </w:r>
          </w:p>
        </w:tc>
      </w:tr>
      <w:tr w:rsidR="00825394" w14:paraId="1F11F087" w14:textId="77777777" w:rsidTr="00920EC6">
        <w:tc>
          <w:tcPr>
            <w:tcW w:w="1620" w:type="dxa"/>
          </w:tcPr>
          <w:p w14:paraId="352E7E1F" w14:textId="77777777" w:rsidR="00825394" w:rsidRDefault="00825394" w:rsidP="00920EC6">
            <w:pPr>
              <w:jc w:val="center"/>
            </w:pPr>
            <w:r>
              <w:t>2</w:t>
            </w:r>
          </w:p>
        </w:tc>
        <w:tc>
          <w:tcPr>
            <w:tcW w:w="7730" w:type="dxa"/>
          </w:tcPr>
          <w:p w14:paraId="53A9403B" w14:textId="77777777" w:rsidR="00825394" w:rsidRDefault="00825394" w:rsidP="00825394">
            <w:r>
              <w:t>Have on-site demonstrations, workshops, and lessons</w:t>
            </w:r>
          </w:p>
        </w:tc>
      </w:tr>
      <w:tr w:rsidR="00825394" w14:paraId="79BC7FF0" w14:textId="77777777" w:rsidTr="00920EC6">
        <w:tc>
          <w:tcPr>
            <w:tcW w:w="1620" w:type="dxa"/>
          </w:tcPr>
          <w:p w14:paraId="0E451D66" w14:textId="77777777" w:rsidR="00825394" w:rsidRDefault="00825394" w:rsidP="00920EC6">
            <w:pPr>
              <w:jc w:val="center"/>
            </w:pPr>
            <w:r>
              <w:t>1</w:t>
            </w:r>
          </w:p>
        </w:tc>
        <w:tc>
          <w:tcPr>
            <w:tcW w:w="7730" w:type="dxa"/>
          </w:tcPr>
          <w:p w14:paraId="0C8587EE" w14:textId="77777777" w:rsidR="00825394" w:rsidRDefault="00825394" w:rsidP="00825394">
            <w:r>
              <w:t>Use signs at fishing access points</w:t>
            </w:r>
          </w:p>
        </w:tc>
      </w:tr>
      <w:tr w:rsidR="00825394" w14:paraId="3DBD1DD2" w14:textId="77777777" w:rsidTr="00825394">
        <w:tc>
          <w:tcPr>
            <w:tcW w:w="9350" w:type="dxa"/>
            <w:gridSpan w:val="2"/>
          </w:tcPr>
          <w:p w14:paraId="4F850928" w14:textId="5E6A16F6" w:rsidR="00825394" w:rsidRPr="004B5D0E" w:rsidRDefault="00825394">
            <w:pPr>
              <w:rPr>
                <w:b/>
              </w:rPr>
            </w:pPr>
            <w:r>
              <w:rPr>
                <w:b/>
              </w:rPr>
              <w:t xml:space="preserve">Other </w:t>
            </w:r>
            <w:r w:rsidR="00FD1E6F">
              <w:rPr>
                <w:b/>
              </w:rPr>
              <w:t>r</w:t>
            </w:r>
            <w:r w:rsidRPr="004B5D0E">
              <w:rPr>
                <w:b/>
              </w:rPr>
              <w:t>ecommendations</w:t>
            </w:r>
          </w:p>
        </w:tc>
      </w:tr>
      <w:tr w:rsidR="00825394" w14:paraId="33FF9773" w14:textId="77777777" w:rsidTr="00920EC6">
        <w:tc>
          <w:tcPr>
            <w:tcW w:w="1620" w:type="dxa"/>
          </w:tcPr>
          <w:p w14:paraId="09AF8E79" w14:textId="77777777" w:rsidR="00825394" w:rsidRDefault="00825394" w:rsidP="00920EC6">
            <w:pPr>
              <w:jc w:val="center"/>
            </w:pPr>
            <w:r>
              <w:t>8</w:t>
            </w:r>
          </w:p>
        </w:tc>
        <w:tc>
          <w:tcPr>
            <w:tcW w:w="7730" w:type="dxa"/>
          </w:tcPr>
          <w:p w14:paraId="2EF97B65" w14:textId="77777777" w:rsidR="00825394" w:rsidRDefault="00825394" w:rsidP="00825394">
            <w:r>
              <w:t>Better educate anglers</w:t>
            </w:r>
          </w:p>
        </w:tc>
      </w:tr>
      <w:tr w:rsidR="00825394" w14:paraId="6561DEFD" w14:textId="77777777" w:rsidTr="00920EC6">
        <w:tc>
          <w:tcPr>
            <w:tcW w:w="1620" w:type="dxa"/>
          </w:tcPr>
          <w:p w14:paraId="6F61F4BC" w14:textId="77777777" w:rsidR="00825394" w:rsidRDefault="00825394" w:rsidP="00920EC6">
            <w:pPr>
              <w:jc w:val="center"/>
            </w:pPr>
            <w:r>
              <w:t>6</w:t>
            </w:r>
          </w:p>
        </w:tc>
        <w:tc>
          <w:tcPr>
            <w:tcW w:w="7730" w:type="dxa"/>
          </w:tcPr>
          <w:p w14:paraId="1BF6C7F6" w14:textId="26FFC3AB" w:rsidR="00825394" w:rsidRDefault="00825394">
            <w:r>
              <w:t xml:space="preserve">Work with other agencies to </w:t>
            </w:r>
            <w:r w:rsidR="00B37086">
              <w:t xml:space="preserve">use </w:t>
            </w:r>
            <w:r>
              <w:t>a consistent message</w:t>
            </w:r>
          </w:p>
        </w:tc>
      </w:tr>
      <w:tr w:rsidR="00825394" w14:paraId="22646F6A" w14:textId="77777777" w:rsidTr="00920EC6">
        <w:tc>
          <w:tcPr>
            <w:tcW w:w="1620" w:type="dxa"/>
          </w:tcPr>
          <w:p w14:paraId="76B479B5" w14:textId="77777777" w:rsidR="00825394" w:rsidRDefault="00825394" w:rsidP="00920EC6">
            <w:pPr>
              <w:jc w:val="center"/>
            </w:pPr>
            <w:r>
              <w:t>3</w:t>
            </w:r>
          </w:p>
        </w:tc>
        <w:tc>
          <w:tcPr>
            <w:tcW w:w="7730" w:type="dxa"/>
          </w:tcPr>
          <w:p w14:paraId="04AE00E1" w14:textId="3D024AF7" w:rsidR="00825394" w:rsidRDefault="00825394">
            <w:r>
              <w:t>Improve the government’s relationships with anglers</w:t>
            </w:r>
            <w:r w:rsidR="00B37086">
              <w:t xml:space="preserve"> and</w:t>
            </w:r>
            <w:r>
              <w:t xml:space="preserve"> build trust</w:t>
            </w:r>
          </w:p>
        </w:tc>
      </w:tr>
      <w:tr w:rsidR="00825394" w14:paraId="20ECD709" w14:textId="77777777" w:rsidTr="00920EC6">
        <w:tc>
          <w:tcPr>
            <w:tcW w:w="1620" w:type="dxa"/>
          </w:tcPr>
          <w:p w14:paraId="0212E76A" w14:textId="77777777" w:rsidR="00825394" w:rsidRDefault="00825394" w:rsidP="00920EC6">
            <w:pPr>
              <w:jc w:val="center"/>
            </w:pPr>
            <w:r>
              <w:t>2</w:t>
            </w:r>
          </w:p>
        </w:tc>
        <w:tc>
          <w:tcPr>
            <w:tcW w:w="7730" w:type="dxa"/>
          </w:tcPr>
          <w:p w14:paraId="2A447FF0" w14:textId="77777777" w:rsidR="00825394" w:rsidRDefault="00825394" w:rsidP="00825394">
            <w:r>
              <w:t>Learn what causes inherent perceptions</w:t>
            </w:r>
          </w:p>
        </w:tc>
      </w:tr>
      <w:tr w:rsidR="00825394" w14:paraId="514C35B3" w14:textId="77777777" w:rsidTr="00920EC6">
        <w:tc>
          <w:tcPr>
            <w:tcW w:w="1620" w:type="dxa"/>
          </w:tcPr>
          <w:p w14:paraId="39022B45" w14:textId="77777777" w:rsidR="00825394" w:rsidRDefault="00825394" w:rsidP="00920EC6">
            <w:pPr>
              <w:jc w:val="center"/>
            </w:pPr>
            <w:r>
              <w:t>2</w:t>
            </w:r>
          </w:p>
        </w:tc>
        <w:tc>
          <w:tcPr>
            <w:tcW w:w="7730" w:type="dxa"/>
          </w:tcPr>
          <w:p w14:paraId="2342B5FB" w14:textId="77777777" w:rsidR="00825394" w:rsidRDefault="00825394" w:rsidP="00825394">
            <w:r>
              <w:t>Integrate health care and social service workers into advisory education (especially through personal interactions)</w:t>
            </w:r>
          </w:p>
        </w:tc>
      </w:tr>
      <w:tr w:rsidR="00825394" w14:paraId="07234D96" w14:textId="77777777" w:rsidTr="00920EC6">
        <w:tc>
          <w:tcPr>
            <w:tcW w:w="1620" w:type="dxa"/>
          </w:tcPr>
          <w:p w14:paraId="73B4F3DC" w14:textId="77777777" w:rsidR="00825394" w:rsidRDefault="00825394" w:rsidP="00920EC6">
            <w:pPr>
              <w:jc w:val="center"/>
            </w:pPr>
            <w:r>
              <w:t>2</w:t>
            </w:r>
          </w:p>
        </w:tc>
        <w:tc>
          <w:tcPr>
            <w:tcW w:w="7730" w:type="dxa"/>
          </w:tcPr>
          <w:p w14:paraId="7FFC24F8" w14:textId="77777777" w:rsidR="00825394" w:rsidRDefault="00825394" w:rsidP="00825394">
            <w:r>
              <w:t>Discuss risks and benefits together</w:t>
            </w:r>
          </w:p>
        </w:tc>
      </w:tr>
      <w:tr w:rsidR="00825394" w14:paraId="7A43267C" w14:textId="77777777" w:rsidTr="00920EC6">
        <w:tc>
          <w:tcPr>
            <w:tcW w:w="1620" w:type="dxa"/>
          </w:tcPr>
          <w:p w14:paraId="706420F9" w14:textId="77777777" w:rsidR="00825394" w:rsidRDefault="00825394" w:rsidP="00920EC6">
            <w:pPr>
              <w:jc w:val="center"/>
            </w:pPr>
            <w:r>
              <w:t>1</w:t>
            </w:r>
          </w:p>
        </w:tc>
        <w:tc>
          <w:tcPr>
            <w:tcW w:w="7730" w:type="dxa"/>
          </w:tcPr>
          <w:p w14:paraId="4C51D41C" w14:textId="77777777" w:rsidR="00825394" w:rsidRDefault="00825394" w:rsidP="00825394">
            <w:r>
              <w:t>Deliver advisory messages frequently</w:t>
            </w:r>
          </w:p>
        </w:tc>
      </w:tr>
      <w:tr w:rsidR="00825394" w14:paraId="51EBA04E" w14:textId="77777777" w:rsidTr="00920EC6">
        <w:tc>
          <w:tcPr>
            <w:tcW w:w="1620" w:type="dxa"/>
          </w:tcPr>
          <w:p w14:paraId="7D286DF6" w14:textId="77777777" w:rsidR="00825394" w:rsidRDefault="00825394" w:rsidP="00920EC6">
            <w:pPr>
              <w:jc w:val="center"/>
            </w:pPr>
            <w:r>
              <w:t>1</w:t>
            </w:r>
          </w:p>
        </w:tc>
        <w:tc>
          <w:tcPr>
            <w:tcW w:w="7730" w:type="dxa"/>
          </w:tcPr>
          <w:p w14:paraId="130F6D95" w14:textId="1C02C963" w:rsidR="00825394" w:rsidRDefault="00825394">
            <w:r>
              <w:t>Partner with nonprofit</w:t>
            </w:r>
            <w:r w:rsidR="00B37086">
              <w:t xml:space="preserve"> groups</w:t>
            </w:r>
          </w:p>
        </w:tc>
      </w:tr>
      <w:tr w:rsidR="00825394" w14:paraId="1BD035D2" w14:textId="77777777" w:rsidTr="00920EC6">
        <w:tc>
          <w:tcPr>
            <w:tcW w:w="1620" w:type="dxa"/>
          </w:tcPr>
          <w:p w14:paraId="5771AC7F" w14:textId="77777777" w:rsidR="00825394" w:rsidRDefault="00825394" w:rsidP="00920EC6">
            <w:pPr>
              <w:jc w:val="center"/>
            </w:pPr>
            <w:r>
              <w:t>1</w:t>
            </w:r>
          </w:p>
        </w:tc>
        <w:tc>
          <w:tcPr>
            <w:tcW w:w="7730" w:type="dxa"/>
          </w:tcPr>
          <w:p w14:paraId="3EF36E03" w14:textId="77777777" w:rsidR="00825394" w:rsidRDefault="00825394" w:rsidP="00825394">
            <w:r>
              <w:t>Involve independent parties in sampling, testing, and reporting</w:t>
            </w:r>
          </w:p>
        </w:tc>
      </w:tr>
      <w:tr w:rsidR="00825394" w14:paraId="2687A6C4" w14:textId="77777777" w:rsidTr="00920EC6">
        <w:tc>
          <w:tcPr>
            <w:tcW w:w="1620" w:type="dxa"/>
          </w:tcPr>
          <w:p w14:paraId="1DAD6CC4" w14:textId="77777777" w:rsidR="00825394" w:rsidRDefault="00825394" w:rsidP="00920EC6">
            <w:pPr>
              <w:jc w:val="center"/>
            </w:pPr>
            <w:r>
              <w:t>1</w:t>
            </w:r>
          </w:p>
        </w:tc>
        <w:tc>
          <w:tcPr>
            <w:tcW w:w="7730" w:type="dxa"/>
          </w:tcPr>
          <w:p w14:paraId="21326CE1" w14:textId="77777777" w:rsidR="00825394" w:rsidRDefault="00825394" w:rsidP="00825394">
            <w:r>
              <w:t>Encourage licensing</w:t>
            </w:r>
          </w:p>
        </w:tc>
      </w:tr>
      <w:tr w:rsidR="00825394" w14:paraId="64019675" w14:textId="77777777" w:rsidTr="00920EC6">
        <w:tc>
          <w:tcPr>
            <w:tcW w:w="1620" w:type="dxa"/>
          </w:tcPr>
          <w:p w14:paraId="3D157B6E" w14:textId="77777777" w:rsidR="00825394" w:rsidRDefault="00825394" w:rsidP="00920EC6">
            <w:pPr>
              <w:jc w:val="center"/>
            </w:pPr>
            <w:r>
              <w:t>1</w:t>
            </w:r>
          </w:p>
        </w:tc>
        <w:tc>
          <w:tcPr>
            <w:tcW w:w="7730" w:type="dxa"/>
          </w:tcPr>
          <w:p w14:paraId="7C2CF6B6" w14:textId="77777777" w:rsidR="00825394" w:rsidRDefault="00825394" w:rsidP="00825394">
            <w:r>
              <w:t>Consider definitive no-consumption guidelines</w:t>
            </w:r>
          </w:p>
        </w:tc>
      </w:tr>
    </w:tbl>
    <w:p w14:paraId="59712F8C" w14:textId="77777777" w:rsidR="001E293F" w:rsidRDefault="001E293F" w:rsidP="001E293F"/>
    <w:p w14:paraId="328849E4" w14:textId="6F0E7BDD" w:rsidR="002A4C0B" w:rsidRDefault="005657F7" w:rsidP="005664E5">
      <w:pPr>
        <w:pStyle w:val="Heading1"/>
        <w:numPr>
          <w:ilvl w:val="0"/>
          <w:numId w:val="8"/>
        </w:numPr>
        <w:ind w:left="360"/>
      </w:pPr>
      <w:r>
        <w:t>Next Steps</w:t>
      </w:r>
    </w:p>
    <w:p w14:paraId="261F75BC" w14:textId="26C6169B" w:rsidR="0005420D" w:rsidRDefault="0005420D" w:rsidP="0005420D">
      <w:r>
        <w:t xml:space="preserve">The Chesapeake Bay </w:t>
      </w:r>
      <w:r w:rsidR="00AF4137">
        <w:t>Trust</w:t>
      </w:r>
      <w:r>
        <w:t xml:space="preserve"> could consider several options that can assist Bay localities in developing effective fish consumption advisory communication tactics:</w:t>
      </w:r>
    </w:p>
    <w:p w14:paraId="26113485" w14:textId="69810948" w:rsidR="006D7F8A" w:rsidRPr="0005420D" w:rsidRDefault="006D7F8A" w:rsidP="006D7F8A">
      <w:pPr>
        <w:pStyle w:val="Heading2"/>
      </w:pPr>
      <w:r w:rsidRPr="0005420D">
        <w:t xml:space="preserve">Option </w:t>
      </w:r>
      <w:r>
        <w:t>1</w:t>
      </w:r>
      <w:r w:rsidR="00AF4137">
        <w:t>—</w:t>
      </w:r>
      <w:r w:rsidRPr="0005420D">
        <w:t>Develop a Short “How-To” Guide to Show Jurisdictions Best Practices for Wording, Graphics, and Dissemination</w:t>
      </w:r>
    </w:p>
    <w:p w14:paraId="7D1899B8" w14:textId="3C95D8BC" w:rsidR="006D7F8A" w:rsidRDefault="006D7F8A" w:rsidP="006D7F8A">
      <w:r w:rsidRPr="005C13C6">
        <w:t xml:space="preserve">Many of the studies recommended similar improvements </w:t>
      </w:r>
      <w:r>
        <w:t xml:space="preserve">to advisory messaging that were either </w:t>
      </w:r>
      <w:r w:rsidRPr="005C13C6">
        <w:t xml:space="preserve">suggested by study participants themselves or </w:t>
      </w:r>
      <w:r w:rsidR="00F432B5">
        <w:t>were</w:t>
      </w:r>
      <w:r>
        <w:t xml:space="preserve"> </w:t>
      </w:r>
      <w:r w:rsidRPr="005C13C6">
        <w:t xml:space="preserve">realized </w:t>
      </w:r>
      <w:r>
        <w:t xml:space="preserve">by study authors when </w:t>
      </w:r>
      <w:r w:rsidRPr="005C13C6">
        <w:t>comparing outreach mode</w:t>
      </w:r>
      <w:r>
        <w:t>s</w:t>
      </w:r>
      <w:r w:rsidRPr="005C13C6">
        <w:t xml:space="preserve"> and type</w:t>
      </w:r>
      <w:r>
        <w:t>s</w:t>
      </w:r>
      <w:r w:rsidRPr="005C13C6">
        <w:t>. Those recommendations could be compiled and organized into a how-to guide for localities to refer to when developing their own fish consumption advisory outreach materials and activities</w:t>
      </w:r>
      <w:r>
        <w:t xml:space="preserve">. The how-to guide would cover best practices for language, tone, level of detail, graphics, </w:t>
      </w:r>
      <w:r>
        <w:lastRenderedPageBreak/>
        <w:t>delivery methods, frequency, and messengers. The guide could be distributed online and through direct email to health agencies, fish and wildlife departments, and other agencies responsible for communicating fish advisories to protect public health. This approach would allow localities maximum ability to tailor their outreach materials to their locations, audiences, and advisory details, which would be ideal. The draft guide could be vetted by key informants at health departments, social services agencies, natural resource professions, state agencies</w:t>
      </w:r>
      <w:r w:rsidR="00AF4137">
        <w:t>,</w:t>
      </w:r>
      <w:r>
        <w:t xml:space="preserve"> and other</w:t>
      </w:r>
      <w:r w:rsidR="00F432B5">
        <w:t>s</w:t>
      </w:r>
      <w:r>
        <w:t xml:space="preserve"> prior to finalization to ensure that it has the information they need. </w:t>
      </w:r>
    </w:p>
    <w:p w14:paraId="1FF47A07" w14:textId="65ACBA0A" w:rsidR="0005420D" w:rsidRPr="0005420D" w:rsidRDefault="0005420D" w:rsidP="003350B2">
      <w:pPr>
        <w:pStyle w:val="Heading2"/>
      </w:pPr>
      <w:r w:rsidRPr="0005420D">
        <w:t xml:space="preserve">Option </w:t>
      </w:r>
      <w:r w:rsidR="006D7F8A">
        <w:t>2</w:t>
      </w:r>
      <w:r w:rsidR="00AF4137">
        <w:t>—</w:t>
      </w:r>
      <w:r w:rsidRPr="0005420D">
        <w:t>Develop an Infographic that Can Easily Be Used in Multiple Ways</w:t>
      </w:r>
    </w:p>
    <w:p w14:paraId="00FA1206" w14:textId="328E3FAB" w:rsidR="0005420D" w:rsidRDefault="0005420D" w:rsidP="0005420D">
      <w:r>
        <w:t>As described earlier, o</w:t>
      </w:r>
      <w:r w:rsidRPr="0029184A">
        <w:t xml:space="preserve">ut of the 23 sources reviewed, the most recalled </w:t>
      </w:r>
      <w:r>
        <w:t xml:space="preserve">outreach formats </w:t>
      </w:r>
      <w:r w:rsidRPr="0029184A">
        <w:t xml:space="preserve">noted by </w:t>
      </w:r>
      <w:r>
        <w:t xml:space="preserve">study </w:t>
      </w:r>
      <w:r w:rsidRPr="0029184A">
        <w:t>respondents were word</w:t>
      </w:r>
      <w:r w:rsidR="00267ADF">
        <w:t xml:space="preserve"> </w:t>
      </w:r>
      <w:r w:rsidRPr="0029184A">
        <w:t>of</w:t>
      </w:r>
      <w:r w:rsidR="00267ADF">
        <w:t xml:space="preserve"> </w:t>
      </w:r>
      <w:r w:rsidRPr="0029184A">
        <w:t xml:space="preserve">mouth, newspapers, television, signs, </w:t>
      </w:r>
      <w:r>
        <w:t xml:space="preserve">and </w:t>
      </w:r>
      <w:r w:rsidRPr="0029184A">
        <w:t>fishing regulations guide booklets.</w:t>
      </w:r>
      <w:r>
        <w:t xml:space="preserve"> When anglers in Washington, DC were asked which formats they would prefer to receive advisory information in, signs, newspaper, and word</w:t>
      </w:r>
      <w:r w:rsidR="00267ADF">
        <w:t xml:space="preserve"> </w:t>
      </w:r>
      <w:r>
        <w:t>of</w:t>
      </w:r>
      <w:r w:rsidR="00267ADF">
        <w:t xml:space="preserve"> </w:t>
      </w:r>
      <w:r>
        <w:t xml:space="preserve">mouth were the top three rated methods. Based on the </w:t>
      </w:r>
      <w:r w:rsidR="00E81820">
        <w:t xml:space="preserve">results of the </w:t>
      </w:r>
      <w:r>
        <w:t>studies</w:t>
      </w:r>
      <w:r w:rsidR="00E81820">
        <w:t xml:space="preserve"> reviewed</w:t>
      </w:r>
      <w:r>
        <w:t>, one of the most cost-effective outreach materials for communicating fish con</w:t>
      </w:r>
      <w:r w:rsidR="00E81820">
        <w:t xml:space="preserve">sumption advisories could be a simple </w:t>
      </w:r>
      <w:r>
        <w:t xml:space="preserve">infographic that can be used in multiple formats—as an ad in the newspaper, sign, poster, shareable social media graphic, graphic insert in fishing regulations booklets, etc. If designed with the right languages, tone, graphics, and reading level, such an infographic could tackle many of the reasons the researchers laid out as to why current advisory information is not as effective as it should be, especially when it comes to minority or at-risk populations. The infographic could be designed in both color and black and white (for newspaper </w:t>
      </w:r>
      <w:r w:rsidR="005F5A4F">
        <w:t xml:space="preserve">or 1-color sign </w:t>
      </w:r>
      <w:r>
        <w:t>printing) and could be distributed online to Bay jurisdictions to download and add language specific to the advisories and health agencies in their areas. The artwork would be provided online for download, customization, and production by individual localities to make them specific to their agency and advisory.</w:t>
      </w:r>
    </w:p>
    <w:p w14:paraId="469643E4" w14:textId="3F63A27D" w:rsidR="0005420D" w:rsidRPr="0005420D" w:rsidRDefault="0005420D" w:rsidP="003350B2">
      <w:pPr>
        <w:pStyle w:val="Heading2"/>
      </w:pPr>
      <w:r>
        <w:rPr>
          <w:noProof/>
        </w:rPr>
        <w:lastRenderedPageBreak/>
        <w:drawing>
          <wp:anchor distT="0" distB="0" distL="114300" distR="114300" simplePos="0" relativeHeight="251659264" behindDoc="1" locked="0" layoutInCell="1" allowOverlap="1" wp14:anchorId="4F420406" wp14:editId="6ACC299F">
            <wp:simplePos x="0" y="0"/>
            <wp:positionH relativeFrom="column">
              <wp:posOffset>4582467</wp:posOffset>
            </wp:positionH>
            <wp:positionV relativeFrom="paragraph">
              <wp:posOffset>548990</wp:posOffset>
            </wp:positionV>
            <wp:extent cx="1659890" cy="3698875"/>
            <wp:effectExtent l="0" t="0" r="0" b="0"/>
            <wp:wrapTight wrapText="bothSides">
              <wp:wrapPolygon edited="0">
                <wp:start x="0" y="0"/>
                <wp:lineTo x="0" y="21470"/>
                <wp:lineTo x="21319" y="21470"/>
                <wp:lineTo x="21319" y="0"/>
                <wp:lineTo x="0" y="0"/>
              </wp:wrapPolygon>
            </wp:wrapTight>
            <wp:docPr id="5" name="Picture 5" descr="Image result for waterproof retractabl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terproof retractable banner"/>
                    <pic:cNvPicPr>
                      <a:picLocks noChangeAspect="1" noChangeArrowheads="1"/>
                    </pic:cNvPicPr>
                  </pic:nvPicPr>
                  <pic:blipFill rotWithShape="1">
                    <a:blip r:embed="rId8">
                      <a:extLst>
                        <a:ext uri="{28A0092B-C50C-407E-A947-70E740481C1C}">
                          <a14:useLocalDpi xmlns:a14="http://schemas.microsoft.com/office/drawing/2010/main" val="0"/>
                        </a:ext>
                      </a:extLst>
                    </a:blip>
                    <a:srcRect l="27848" r="27258"/>
                    <a:stretch/>
                  </pic:blipFill>
                  <pic:spPr bwMode="auto">
                    <a:xfrm>
                      <a:off x="0" y="0"/>
                      <a:ext cx="1659890" cy="369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05420D">
        <w:t xml:space="preserve">Option </w:t>
      </w:r>
      <w:r w:rsidR="006D7F8A">
        <w:t>3</w:t>
      </w:r>
      <w:r w:rsidR="00AF4137">
        <w:t>—</w:t>
      </w:r>
      <w:r w:rsidRPr="0005420D">
        <w:t xml:space="preserve">Develop a Presentation Kit That Can Be Delivered </w:t>
      </w:r>
      <w:r w:rsidR="003350B2">
        <w:t xml:space="preserve">at </w:t>
      </w:r>
      <w:r w:rsidRPr="0005420D">
        <w:t>Community Meetings, Fishing Tournaments, or Popular Fishing Locations to Help Create a Buzz about Advisories that Can Spread on Its Own Via Word</w:t>
      </w:r>
      <w:r w:rsidR="00267ADF">
        <w:t xml:space="preserve"> </w:t>
      </w:r>
      <w:r w:rsidRPr="0005420D">
        <w:t>of</w:t>
      </w:r>
      <w:r w:rsidR="00267ADF">
        <w:t xml:space="preserve"> </w:t>
      </w:r>
      <w:r w:rsidRPr="0005420D">
        <w:t>Mouth</w:t>
      </w:r>
    </w:p>
    <w:p w14:paraId="0DB75DEB" w14:textId="3164F8F4" w:rsidR="0005420D" w:rsidRDefault="0005420D" w:rsidP="0005420D">
      <w:r>
        <w:t>Because one of the most preferred ways that study respondents said they receive health advisory information is from other anglers, family, or friends, developing a mechanism to reach anglers in informal, friendly settings would be a good way to increase anglers’ awareness of, understanding of, and belief in fish consumption advisories. According to the Anacostia anglers’ study, OpinionWorks (2012) found that many DC-area anglers see fishing as a social activity and enjoy talking about fishing with their peers. The report recommends that health officials use fishing tournaments or other</w:t>
      </w:r>
      <w:r w:rsidRPr="00DF5A98">
        <w:t xml:space="preserve"> </w:t>
      </w:r>
      <w:r>
        <w:t xml:space="preserve">fishing activities as ways to get anglers together and educate them about advisories. One way this could be done is by developing 1 or 2 retractable banner displays (see example at right) </w:t>
      </w:r>
      <w:r w:rsidR="009300AB">
        <w:t xml:space="preserve">with simple messaging </w:t>
      </w:r>
      <w:r>
        <w:t xml:space="preserve">that can be set up and taken down easily most anywhere. A set of brief talking points could also be included with the banner to </w:t>
      </w:r>
      <w:r w:rsidR="009300AB">
        <w:t xml:space="preserve">ensure that the </w:t>
      </w:r>
      <w:r>
        <w:t xml:space="preserve">presenter </w:t>
      </w:r>
      <w:r w:rsidR="009300AB">
        <w:t xml:space="preserve">provides </w:t>
      </w:r>
      <w:r>
        <w:t xml:space="preserve">consistent, tailored messaging for the audience. The talking points could also be turned into a takeaway handout or sticker prompt that attendees can </w:t>
      </w:r>
      <w:r w:rsidR="004E0D40">
        <w:t>stick on</w:t>
      </w:r>
      <w:r>
        <w:t xml:space="preserve"> their tackle boxes. The sticker prompt would serve as a reminder about the advisory every time the angler picks up their tackle box to go fishing. </w:t>
      </w:r>
      <w:r w:rsidR="004E0D40">
        <w:t xml:space="preserve">Behavior prompts are social marketing tactics that reinforce the adoption of desired behaviors. </w:t>
      </w:r>
      <w:r>
        <w:t xml:space="preserve">The materials and talking points would make it easy for a variety of people with different skill levels to learn and present the information in different settings. If localities can train well-respected fishermen in key fishing communities to deliver the presentation themselves, it would be even more effective. The banner/presentation could also be posted and delivered at local WIC (Women, Infant, and Children) nutrition program offices to target pregnant women and women with young children still at home who seek supplemental food through the program. Materials would be provided online for download, customization, and production by individual localities to make them specific to their agency and advisory. </w:t>
      </w:r>
    </w:p>
    <w:p w14:paraId="35ED4B7C" w14:textId="3BCD15A7" w:rsidR="00071AD3" w:rsidRDefault="00FE42F1" w:rsidP="005664E5">
      <w:pPr>
        <w:pStyle w:val="Heading1"/>
        <w:numPr>
          <w:ilvl w:val="0"/>
          <w:numId w:val="8"/>
        </w:numPr>
        <w:ind w:left="360"/>
      </w:pPr>
      <w:r>
        <w:t>References</w:t>
      </w:r>
    </w:p>
    <w:p w14:paraId="1D9F6380" w14:textId="1161F030" w:rsidR="00AA7EC6" w:rsidRDefault="00AA7EC6" w:rsidP="00AA7EC6">
      <w:r w:rsidRPr="00FE42F1">
        <w:t xml:space="preserve">Beehler, G.P., B.M. McGuinness, and J.E. Vena. 2001. Polluted Fish, Sources of Knowledge, and the Perception of Risk: Contextualizing African American Anglers' Sport Fishing Practices. </w:t>
      </w:r>
      <w:r w:rsidRPr="000E5ACF">
        <w:rPr>
          <w:i/>
        </w:rPr>
        <w:t>Human Organization</w:t>
      </w:r>
      <w:r w:rsidRPr="00FE42F1">
        <w:t xml:space="preserve"> 60(3):288</w:t>
      </w:r>
      <w:r w:rsidR="00333B2D">
        <w:t>–</w:t>
      </w:r>
      <w:r w:rsidRPr="00FE42F1">
        <w:t>297.</w:t>
      </w:r>
    </w:p>
    <w:p w14:paraId="0813FB74" w14:textId="75481403" w:rsidR="009919EA" w:rsidRDefault="009919EA" w:rsidP="009919EA">
      <w:r w:rsidRPr="00FE42F1">
        <w:t>Beehler, G.P., B.M. McGuinness, and J.E. Vena. 200</w:t>
      </w:r>
      <w:r>
        <w:t>3</w:t>
      </w:r>
      <w:r w:rsidRPr="00FE42F1">
        <w:t xml:space="preserve">. Characterizing Latino Anglers' Environmental Risk Perceptions, Sport Fish Consumption, and Advisory Awareness. </w:t>
      </w:r>
      <w:r w:rsidRPr="000E5ACF">
        <w:rPr>
          <w:i/>
        </w:rPr>
        <w:t>Medical Anthropology Quarterly</w:t>
      </w:r>
      <w:r w:rsidRPr="00FE42F1">
        <w:t xml:space="preserve"> 17(1):99–116.</w:t>
      </w:r>
    </w:p>
    <w:p w14:paraId="7E402B47" w14:textId="2426C410" w:rsidR="00AA7EC6" w:rsidRDefault="00AA7EC6" w:rsidP="00AA7EC6">
      <w:r w:rsidRPr="00FE42F1">
        <w:t xml:space="preserve">Burger, J. 2004. Fish </w:t>
      </w:r>
      <w:r w:rsidR="003B5102" w:rsidRPr="00FE42F1">
        <w:t xml:space="preserve">Consumption Advisories: Knowledge, Compliance </w:t>
      </w:r>
      <w:r w:rsidR="003B5102">
        <w:t>a</w:t>
      </w:r>
      <w:r w:rsidR="003B5102" w:rsidRPr="00FE42F1">
        <w:t xml:space="preserve">nd Why People Fish </w:t>
      </w:r>
      <w:r w:rsidR="003B5102">
        <w:t>i</w:t>
      </w:r>
      <w:r w:rsidR="003B5102" w:rsidRPr="00FE42F1">
        <w:t xml:space="preserve">n </w:t>
      </w:r>
      <w:r w:rsidR="003B5102">
        <w:t>a</w:t>
      </w:r>
      <w:r w:rsidR="003B5102" w:rsidRPr="00FE42F1">
        <w:t>n Urban Estuary. </w:t>
      </w:r>
      <w:r w:rsidRPr="003B5102">
        <w:rPr>
          <w:i/>
        </w:rPr>
        <w:t>Journal of Risk Research</w:t>
      </w:r>
      <w:r w:rsidRPr="00FE42F1">
        <w:t> 7(5):463</w:t>
      </w:r>
      <w:r w:rsidR="00333B2D">
        <w:t>–</w:t>
      </w:r>
      <w:r w:rsidRPr="00FE42F1">
        <w:t>479.</w:t>
      </w:r>
    </w:p>
    <w:p w14:paraId="7EC9513A" w14:textId="6FDA4316" w:rsidR="00AA7EC6" w:rsidRPr="00B05F4A" w:rsidRDefault="00AA7EC6" w:rsidP="00AA7EC6">
      <w:r w:rsidRPr="00FE42F1">
        <w:t xml:space="preserve">Burger, J. 2005. Fishing, </w:t>
      </w:r>
      <w:r w:rsidR="003B5102" w:rsidRPr="00FE42F1">
        <w:t xml:space="preserve">Fish Consumption, </w:t>
      </w:r>
      <w:r w:rsidR="003B5102">
        <w:t>a</w:t>
      </w:r>
      <w:r w:rsidR="003B5102" w:rsidRPr="00FE42F1">
        <w:t xml:space="preserve">nd Knowledge </w:t>
      </w:r>
      <w:r w:rsidR="003B5102">
        <w:t>a</w:t>
      </w:r>
      <w:r w:rsidR="003B5102" w:rsidRPr="00FE42F1">
        <w:t xml:space="preserve">bout Advisories </w:t>
      </w:r>
      <w:r w:rsidR="003B5102">
        <w:t>i</w:t>
      </w:r>
      <w:r w:rsidR="003B5102" w:rsidRPr="00FE42F1">
        <w:t xml:space="preserve">n College Students </w:t>
      </w:r>
      <w:r w:rsidR="003B5102">
        <w:t>a</w:t>
      </w:r>
      <w:r w:rsidR="003B5102" w:rsidRPr="00FE42F1">
        <w:t xml:space="preserve">nd Others </w:t>
      </w:r>
      <w:r w:rsidR="003B5102">
        <w:t>i</w:t>
      </w:r>
      <w:r w:rsidR="003B5102" w:rsidRPr="00FE42F1">
        <w:t xml:space="preserve">n Central </w:t>
      </w:r>
      <w:r w:rsidRPr="00FE42F1">
        <w:t>New Jersey. </w:t>
      </w:r>
      <w:r w:rsidRPr="003B5102">
        <w:rPr>
          <w:i/>
        </w:rPr>
        <w:t>Environmental Research</w:t>
      </w:r>
      <w:r w:rsidRPr="00FE42F1">
        <w:t> 98(2):268</w:t>
      </w:r>
      <w:r w:rsidR="00333B2D">
        <w:t>–</w:t>
      </w:r>
      <w:r w:rsidRPr="00FE42F1">
        <w:t>275.</w:t>
      </w:r>
    </w:p>
    <w:p w14:paraId="0C3E29D1" w14:textId="4EB8BFED" w:rsidR="00AA7EC6" w:rsidRDefault="00AA7EC6" w:rsidP="00AA7EC6">
      <w:r w:rsidRPr="00FE42F1">
        <w:lastRenderedPageBreak/>
        <w:t>Burger, J., M. Gochfeld, C.W. Powers, L. Waishwell, C. Warren, and B.D. Goldstein. 2001. Science</w:t>
      </w:r>
      <w:r w:rsidR="003B5102" w:rsidRPr="00FE42F1">
        <w:t xml:space="preserve">, Policy, Stakeholders, </w:t>
      </w:r>
      <w:r w:rsidR="003B5102">
        <w:t>a</w:t>
      </w:r>
      <w:r w:rsidR="003B5102" w:rsidRPr="00FE42F1">
        <w:t xml:space="preserve">nd Fish Consumption Advisories: Developing </w:t>
      </w:r>
      <w:r w:rsidR="003B5102">
        <w:t>a</w:t>
      </w:r>
      <w:r w:rsidR="003B5102" w:rsidRPr="00FE42F1">
        <w:t xml:space="preserve"> Fish Fact Sheet</w:t>
      </w:r>
      <w:r w:rsidRPr="00FE42F1">
        <w:t xml:space="preserve"> for the Savannah River. </w:t>
      </w:r>
      <w:r w:rsidRPr="003B5102">
        <w:rPr>
          <w:i/>
        </w:rPr>
        <w:t>Environmental Management</w:t>
      </w:r>
      <w:r w:rsidRPr="00FE42F1">
        <w:t xml:space="preserve"> 27(4):501</w:t>
      </w:r>
      <w:r w:rsidR="00333B2D">
        <w:t>–</w:t>
      </w:r>
      <w:r w:rsidRPr="00FE42F1">
        <w:t>514.</w:t>
      </w:r>
    </w:p>
    <w:p w14:paraId="47D6E143" w14:textId="60C0D06A" w:rsidR="00FE42F1" w:rsidRDefault="00FE42F1" w:rsidP="00FE42F1">
      <w:r w:rsidRPr="00FE42F1">
        <w:t xml:space="preserve">Chess, C., J. Burger, and M. Hughes McDermott. 2005. Speaking </w:t>
      </w:r>
      <w:r w:rsidR="003B5102">
        <w:t>Li</w:t>
      </w:r>
      <w:r w:rsidRPr="00FE42F1">
        <w:t xml:space="preserve">ke a </w:t>
      </w:r>
      <w:r w:rsidR="003B5102">
        <w:t>S</w:t>
      </w:r>
      <w:r w:rsidRPr="00FE42F1">
        <w:t xml:space="preserve">tate: </w:t>
      </w:r>
      <w:r w:rsidR="003B5102">
        <w:t>E</w:t>
      </w:r>
      <w:r w:rsidRPr="00FE42F1">
        <w:t xml:space="preserve">nvironmental </w:t>
      </w:r>
      <w:r w:rsidR="003B5102">
        <w:t>J</w:t>
      </w:r>
      <w:r w:rsidRPr="00FE42F1">
        <w:t xml:space="preserve">ustice and </w:t>
      </w:r>
      <w:r w:rsidR="003B5102">
        <w:t>F</w:t>
      </w:r>
      <w:r w:rsidRPr="00FE42F1">
        <w:t xml:space="preserve">ish </w:t>
      </w:r>
      <w:r w:rsidR="003B5102">
        <w:t>C</w:t>
      </w:r>
      <w:r w:rsidRPr="00FE42F1">
        <w:t xml:space="preserve">onsumption </w:t>
      </w:r>
      <w:r w:rsidR="003B5102">
        <w:t>A</w:t>
      </w:r>
      <w:r w:rsidRPr="00FE42F1">
        <w:t>dvisories. </w:t>
      </w:r>
      <w:r w:rsidRPr="009B7773">
        <w:rPr>
          <w:i/>
        </w:rPr>
        <w:t xml:space="preserve">Society and </w:t>
      </w:r>
      <w:r w:rsidR="00AA7EC6">
        <w:rPr>
          <w:i/>
        </w:rPr>
        <w:t>N</w:t>
      </w:r>
      <w:r w:rsidRPr="009B7773">
        <w:rPr>
          <w:i/>
        </w:rPr>
        <w:t xml:space="preserve">atural </w:t>
      </w:r>
      <w:r w:rsidR="00AA7EC6">
        <w:rPr>
          <w:i/>
        </w:rPr>
        <w:t>R</w:t>
      </w:r>
      <w:r w:rsidRPr="009B7773">
        <w:rPr>
          <w:i/>
        </w:rPr>
        <w:t>esources</w:t>
      </w:r>
      <w:r w:rsidRPr="00FE42F1">
        <w:t> 18(3):267</w:t>
      </w:r>
      <w:r w:rsidR="00333B2D">
        <w:t>–</w:t>
      </w:r>
      <w:r w:rsidRPr="00FE42F1">
        <w:t>278.</w:t>
      </w:r>
    </w:p>
    <w:p w14:paraId="198C92DF" w14:textId="3D56B69C" w:rsidR="00FE42F1" w:rsidRDefault="00FE42F1" w:rsidP="00FE42F1">
      <w:r w:rsidRPr="00FE42F1">
        <w:t>Connelly, N.A.</w:t>
      </w:r>
      <w:r w:rsidR="00BF3A81">
        <w:t>,</w:t>
      </w:r>
      <w:r w:rsidRPr="00FE42F1">
        <w:t xml:space="preserve"> and B.A. Knuth. 1998. Evaluating Risk Communication: Examining Target Audience Perceptions About Four Presentation Formats for Fish Consumption Health Advisory Information. </w:t>
      </w:r>
      <w:r w:rsidRPr="009B7773">
        <w:rPr>
          <w:i/>
        </w:rPr>
        <w:t>Risk Analysis</w:t>
      </w:r>
      <w:r w:rsidRPr="00FE42F1">
        <w:t xml:space="preserve"> 18</w:t>
      </w:r>
      <w:r>
        <w:t>(</w:t>
      </w:r>
      <w:r w:rsidRPr="00FE42F1">
        <w:t>5</w:t>
      </w:r>
      <w:r>
        <w:t>):</w:t>
      </w:r>
      <w:r w:rsidRPr="00FE42F1">
        <w:t>649–659</w:t>
      </w:r>
      <w:r>
        <w:t>.</w:t>
      </w:r>
    </w:p>
    <w:p w14:paraId="19070EE1" w14:textId="50F93882" w:rsidR="00AA7EC6" w:rsidRDefault="00AA7EC6" w:rsidP="00AA7EC6">
      <w:r w:rsidRPr="00FE42F1">
        <w:t xml:space="preserve">Furgal, C. M., S. Powell, and H. Myers. 2005. Digesting the </w:t>
      </w:r>
      <w:r w:rsidR="003B5102">
        <w:t>M</w:t>
      </w:r>
      <w:r w:rsidRPr="00FE42F1">
        <w:t xml:space="preserve">essage </w:t>
      </w:r>
      <w:r w:rsidR="003B5102">
        <w:t>a</w:t>
      </w:r>
      <w:r w:rsidRPr="00FE42F1">
        <w:t xml:space="preserve">bout </w:t>
      </w:r>
      <w:r w:rsidR="003B5102">
        <w:t>C</w:t>
      </w:r>
      <w:r w:rsidRPr="00FE42F1">
        <w:t xml:space="preserve">ontaminants and </w:t>
      </w:r>
      <w:r w:rsidR="003B5102">
        <w:t>C</w:t>
      </w:r>
      <w:r w:rsidRPr="00FE42F1">
        <w:t xml:space="preserve">ountry </w:t>
      </w:r>
      <w:r w:rsidR="003B5102">
        <w:t>foods in the Canadian North: A R</w:t>
      </w:r>
      <w:r w:rsidRPr="00FE42F1">
        <w:t xml:space="preserve">eview and </w:t>
      </w:r>
      <w:r w:rsidR="003B5102">
        <w:t>R</w:t>
      </w:r>
      <w:r w:rsidRPr="00FE42F1">
        <w:t xml:space="preserve">ecommendations for </w:t>
      </w:r>
      <w:r w:rsidR="003B5102">
        <w:t>F</w:t>
      </w:r>
      <w:r w:rsidRPr="00FE42F1">
        <w:t xml:space="preserve">uture </w:t>
      </w:r>
      <w:r w:rsidR="003B5102">
        <w:t>R</w:t>
      </w:r>
      <w:r w:rsidRPr="00FE42F1">
        <w:t xml:space="preserve">esearch and </w:t>
      </w:r>
      <w:r w:rsidR="003B5102">
        <w:t>A</w:t>
      </w:r>
      <w:r w:rsidRPr="00FE42F1">
        <w:t xml:space="preserve">ction. </w:t>
      </w:r>
      <w:r w:rsidRPr="00AA7EC6">
        <w:rPr>
          <w:i/>
        </w:rPr>
        <w:t>Arctic</w:t>
      </w:r>
      <w:r w:rsidRPr="00FE42F1">
        <w:t xml:space="preserve"> 58(2):103</w:t>
      </w:r>
      <w:r w:rsidR="00333B2D">
        <w:t>–</w:t>
      </w:r>
      <w:r w:rsidRPr="00FE42F1">
        <w:t>114.</w:t>
      </w:r>
    </w:p>
    <w:p w14:paraId="3ED27AC5" w14:textId="03F9BCE1" w:rsidR="00FE42F1" w:rsidRDefault="00FE42F1" w:rsidP="00FE42F1">
      <w:r w:rsidRPr="00FE42F1">
        <w:t>George, V., A. Kjolhede, and K. Korfmacher. 20</w:t>
      </w:r>
      <w:r w:rsidR="009919EA">
        <w:t>10</w:t>
      </w:r>
      <w:r w:rsidRPr="00FE42F1">
        <w:t xml:space="preserve">. </w:t>
      </w:r>
      <w:r w:rsidRPr="009B7773">
        <w:rPr>
          <w:i/>
        </w:rPr>
        <w:t xml:space="preserve">Subsistence </w:t>
      </w:r>
      <w:r w:rsidR="003B5102" w:rsidRPr="009B7773">
        <w:rPr>
          <w:i/>
        </w:rPr>
        <w:t xml:space="preserve">Consumption </w:t>
      </w:r>
      <w:r w:rsidR="003B5102">
        <w:rPr>
          <w:i/>
        </w:rPr>
        <w:t>o</w:t>
      </w:r>
      <w:r w:rsidR="003B5102" w:rsidRPr="009B7773">
        <w:rPr>
          <w:i/>
        </w:rPr>
        <w:t>f Locally Caught Fish</w:t>
      </w:r>
      <w:r w:rsidRPr="009B7773">
        <w:rPr>
          <w:i/>
        </w:rPr>
        <w:t xml:space="preserve"> in Rochester, New York: 2009 Rapid Assessment Report</w:t>
      </w:r>
      <w:r w:rsidRPr="00FE42F1">
        <w:t>. University of Rochester Medical Center, Environmental Health Sciences Center, Community Outreach and Education Core</w:t>
      </w:r>
      <w:r w:rsidR="00E56D0E">
        <w:t>,</w:t>
      </w:r>
      <w:r w:rsidR="009B7773">
        <w:t xml:space="preserve"> Rochester, NY</w:t>
      </w:r>
      <w:r w:rsidRPr="00FE42F1">
        <w:t>.</w:t>
      </w:r>
    </w:p>
    <w:p w14:paraId="2BBCB7C7" w14:textId="77777777" w:rsidR="00AA7EC6" w:rsidRDefault="00AA7EC6" w:rsidP="00AA7EC6">
      <w:r w:rsidRPr="00FE42F1">
        <w:t xml:space="preserve">Gibson, J.C. 2005. </w:t>
      </w:r>
      <w:r w:rsidRPr="000E5ACF">
        <w:rPr>
          <w:i/>
        </w:rPr>
        <w:t>Fish Consumption Advisories in Tributaries to the Chesapeake Bay</w:t>
      </w:r>
      <w:r w:rsidRPr="00FE42F1">
        <w:t>. PhD dissertation, Virginia Polytechnic Institute and State University, Blacksburg, VA.</w:t>
      </w:r>
    </w:p>
    <w:p w14:paraId="01E30977" w14:textId="222BFFB8" w:rsidR="00FE42F1" w:rsidRDefault="00FE42F1" w:rsidP="00FE42F1">
      <w:r w:rsidRPr="00FE42F1">
        <w:t xml:space="preserve">Habron, G., M. Barbier, and R. Kinnunen. 2008. Local </w:t>
      </w:r>
      <w:r w:rsidR="003B5102" w:rsidRPr="00FE42F1">
        <w:t xml:space="preserve">Understanding </w:t>
      </w:r>
      <w:r w:rsidR="003B5102">
        <w:t>o</w:t>
      </w:r>
      <w:r w:rsidR="003B5102" w:rsidRPr="00FE42F1">
        <w:t xml:space="preserve">f Fish Consumption Advisory Risks </w:t>
      </w:r>
      <w:r w:rsidR="003B5102">
        <w:t>i</w:t>
      </w:r>
      <w:r w:rsidR="003B5102" w:rsidRPr="00FE42F1">
        <w:t xml:space="preserve">n Michigan's Upper Peninsula: The Role </w:t>
      </w:r>
      <w:r w:rsidR="000A6E49">
        <w:t>o</w:t>
      </w:r>
      <w:r w:rsidR="003B5102" w:rsidRPr="00FE42F1">
        <w:t xml:space="preserve">f Structure, Culture, </w:t>
      </w:r>
      <w:r w:rsidR="003B5102">
        <w:t>a</w:t>
      </w:r>
      <w:r w:rsidR="003B5102" w:rsidRPr="00FE42F1">
        <w:t>nd Agency</w:t>
      </w:r>
      <w:r w:rsidRPr="00FE42F1">
        <w:t xml:space="preserve">. </w:t>
      </w:r>
      <w:r w:rsidRPr="009B7773">
        <w:rPr>
          <w:i/>
        </w:rPr>
        <w:t>Rural Sociology</w:t>
      </w:r>
      <w:r w:rsidRPr="00FE42F1">
        <w:t xml:space="preserve"> 73(2):275</w:t>
      </w:r>
      <w:r w:rsidR="00DF69D4">
        <w:t>–</w:t>
      </w:r>
      <w:r w:rsidRPr="00FE42F1">
        <w:t>299.</w:t>
      </w:r>
    </w:p>
    <w:p w14:paraId="776B41A1" w14:textId="0570CF01" w:rsidR="00FE42F1" w:rsidRDefault="00FE42F1" w:rsidP="00FE42F1">
      <w:r w:rsidRPr="00FE42F1">
        <w:t xml:space="preserve">Kalkirtz, V., M. Martinez, and A. Teague. 2008. </w:t>
      </w:r>
      <w:r w:rsidRPr="009B7773">
        <w:rPr>
          <w:i/>
        </w:rPr>
        <w:t>Environmental Justice and Fish Consumption Advisories on the Detroit River Area of Concern</w:t>
      </w:r>
      <w:r w:rsidRPr="00FE42F1">
        <w:t>. Master</w:t>
      </w:r>
      <w:r w:rsidR="00E56D0E">
        <w:t>’</w:t>
      </w:r>
      <w:r w:rsidRPr="00FE42F1">
        <w:t>s Thesis, University of Michigan, School of Natural Resources and Environment</w:t>
      </w:r>
      <w:r w:rsidR="00E56D0E">
        <w:t>,</w:t>
      </w:r>
      <w:r w:rsidR="00AA7EC6">
        <w:t xml:space="preserve"> Ann Arbor, M</w:t>
      </w:r>
      <w:r w:rsidR="00E56D0E">
        <w:t>I</w:t>
      </w:r>
      <w:r w:rsidR="00AA7EC6">
        <w:t>.</w:t>
      </w:r>
    </w:p>
    <w:p w14:paraId="68C1A4F6" w14:textId="593F2593" w:rsidR="00AA7EC6" w:rsidRDefault="00AA7EC6" w:rsidP="00AA7EC6">
      <w:r w:rsidRPr="00FE42F1">
        <w:t xml:space="preserve">Katner, A., E. Ogunyinka, M.H. Sun, S. Soileau, D. Lavergne, D. Dugas, and M. Suffet. 2011. Fishing, </w:t>
      </w:r>
      <w:r w:rsidR="000A6E49" w:rsidRPr="00FE42F1">
        <w:t xml:space="preserve">Fish Consumption </w:t>
      </w:r>
      <w:r w:rsidR="000A6E49">
        <w:t>a</w:t>
      </w:r>
      <w:r w:rsidR="000A6E49" w:rsidRPr="00FE42F1">
        <w:t xml:space="preserve">nd Advisory Awareness </w:t>
      </w:r>
      <w:r w:rsidR="00AA62C9">
        <w:t>a</w:t>
      </w:r>
      <w:r w:rsidR="000A6E49" w:rsidRPr="00FE42F1">
        <w:t xml:space="preserve">mong </w:t>
      </w:r>
      <w:r w:rsidRPr="00FE42F1">
        <w:t xml:space="preserve">Louisiana’s </w:t>
      </w:r>
      <w:r w:rsidR="000A6E49" w:rsidRPr="00FE42F1">
        <w:t>Recreational Fishers</w:t>
      </w:r>
      <w:r w:rsidRPr="00FE42F1">
        <w:t>.</w:t>
      </w:r>
      <w:r>
        <w:t xml:space="preserve"> </w:t>
      </w:r>
      <w:r w:rsidRPr="00AA7EC6">
        <w:rPr>
          <w:i/>
        </w:rPr>
        <w:t>Environmental Research</w:t>
      </w:r>
      <w:r w:rsidRPr="00FE42F1">
        <w:t> 111(8):1037</w:t>
      </w:r>
      <w:r w:rsidR="00DF69D4">
        <w:t>–</w:t>
      </w:r>
      <w:r w:rsidRPr="00FE42F1">
        <w:t>1045.</w:t>
      </w:r>
    </w:p>
    <w:p w14:paraId="67E26BB9" w14:textId="716E7649" w:rsidR="00AA7EC6" w:rsidRDefault="00AA7EC6" w:rsidP="00AA7EC6">
      <w:r w:rsidRPr="00FE42F1">
        <w:t xml:space="preserve">Knobeloch, L., H.A. Anderson, P. Imm, D. Peters, and A. Smith. 2005. Fish </w:t>
      </w:r>
      <w:r w:rsidR="00AA62C9">
        <w:t>C</w:t>
      </w:r>
      <w:r w:rsidRPr="00FE42F1">
        <w:t xml:space="preserve">onsumption, </w:t>
      </w:r>
      <w:r w:rsidR="00AA62C9">
        <w:t>A</w:t>
      </w:r>
      <w:r w:rsidRPr="00FE42F1">
        <w:t xml:space="preserve">dvisory </w:t>
      </w:r>
      <w:r w:rsidR="00AA62C9">
        <w:t>A</w:t>
      </w:r>
      <w:r w:rsidRPr="00FE42F1">
        <w:t xml:space="preserve">wareness, and </w:t>
      </w:r>
      <w:r w:rsidR="00AA62C9">
        <w:t>H</w:t>
      </w:r>
      <w:r w:rsidRPr="00FE42F1">
        <w:t xml:space="preserve">air </w:t>
      </w:r>
      <w:r w:rsidR="00AA62C9">
        <w:t>M</w:t>
      </w:r>
      <w:r w:rsidRPr="00FE42F1">
        <w:t xml:space="preserve">ercury </w:t>
      </w:r>
      <w:r w:rsidR="00AA62C9">
        <w:t>L</w:t>
      </w:r>
      <w:r w:rsidRPr="00FE42F1">
        <w:t xml:space="preserve">evels among </w:t>
      </w:r>
      <w:r w:rsidR="00AA62C9">
        <w:t>W</w:t>
      </w:r>
      <w:r w:rsidRPr="00FE42F1">
        <w:t xml:space="preserve">omen of </w:t>
      </w:r>
      <w:r w:rsidR="00AA62C9">
        <w:t>C</w:t>
      </w:r>
      <w:r w:rsidRPr="00FE42F1">
        <w:t xml:space="preserve">hildbearing </w:t>
      </w:r>
      <w:r w:rsidR="00AA62C9">
        <w:t>A</w:t>
      </w:r>
      <w:r w:rsidRPr="00FE42F1">
        <w:t xml:space="preserve">ge. </w:t>
      </w:r>
      <w:r w:rsidRPr="000E5ACF">
        <w:rPr>
          <w:i/>
        </w:rPr>
        <w:t>Environmental Research</w:t>
      </w:r>
      <w:r w:rsidRPr="00FE42F1">
        <w:t xml:space="preserve"> 97(2):220</w:t>
      </w:r>
      <w:r w:rsidR="00DF69D4">
        <w:t>–</w:t>
      </w:r>
      <w:r w:rsidRPr="00FE42F1">
        <w:t>227.</w:t>
      </w:r>
    </w:p>
    <w:p w14:paraId="744B89CC" w14:textId="08034257" w:rsidR="00AA7EC6" w:rsidRDefault="00AA7EC6" w:rsidP="00AA7EC6">
      <w:r w:rsidRPr="00FE42F1">
        <w:t xml:space="preserve">Lauber, T.B., N.A. Connelly, B.A. Knuth, and J. Niederdeppe. 2011. </w:t>
      </w:r>
      <w:r w:rsidRPr="00AA7EC6">
        <w:rPr>
          <w:i/>
        </w:rPr>
        <w:t xml:space="preserve">Assessment of the Great Lakes </w:t>
      </w:r>
      <w:r w:rsidR="000A6E49" w:rsidRPr="00AA7EC6">
        <w:rPr>
          <w:i/>
        </w:rPr>
        <w:t>States’ Fish Consumption Advisory Programs</w:t>
      </w:r>
      <w:r w:rsidR="000A6E49" w:rsidRPr="00FE42F1">
        <w:t>.</w:t>
      </w:r>
      <w:r w:rsidRPr="00FE42F1">
        <w:t xml:space="preserve"> HDRU Publ</w:t>
      </w:r>
      <w:r w:rsidR="00E56D0E">
        <w:t>ication</w:t>
      </w:r>
      <w:r w:rsidRPr="00FE42F1">
        <w:t xml:space="preserve"> No. 11-7. </w:t>
      </w:r>
      <w:r w:rsidR="00E56D0E">
        <w:t xml:space="preserve">Cornell University, College of Agriculture and Life Sciences, </w:t>
      </w:r>
      <w:r w:rsidR="00E56D0E" w:rsidRPr="00FE42F1">
        <w:t>Dep</w:t>
      </w:r>
      <w:r w:rsidR="00E56D0E">
        <w:t>ar</w:t>
      </w:r>
      <w:r w:rsidR="00E56D0E" w:rsidRPr="00FE42F1">
        <w:t>t</w:t>
      </w:r>
      <w:r w:rsidR="00E56D0E">
        <w:t>ment</w:t>
      </w:r>
      <w:r w:rsidR="00E56D0E" w:rsidRPr="00FE42F1">
        <w:t xml:space="preserve"> of Nat</w:t>
      </w:r>
      <w:r w:rsidR="00E56D0E">
        <w:t>ural</w:t>
      </w:r>
      <w:r w:rsidR="00E56D0E" w:rsidRPr="00FE42F1">
        <w:t xml:space="preserve"> Resour</w:t>
      </w:r>
      <w:r w:rsidR="00E56D0E">
        <w:t>ces</w:t>
      </w:r>
      <w:r w:rsidR="00E56D0E" w:rsidRPr="00FE42F1">
        <w:t xml:space="preserve">, </w:t>
      </w:r>
      <w:r w:rsidR="00E56D0E">
        <w:t>Human Dimensions Research Unit,</w:t>
      </w:r>
      <w:r w:rsidRPr="00FE42F1">
        <w:t xml:space="preserve"> Ithaca, NY.</w:t>
      </w:r>
    </w:p>
    <w:p w14:paraId="10F23F0A" w14:textId="60B36C55" w:rsidR="00FE42F1" w:rsidRDefault="00FE42F1" w:rsidP="0035695D">
      <w:r w:rsidRPr="00FE42F1">
        <w:t xml:space="preserve">LePrevost, C.E., K.M. Gray, M. Hernández-Pelletier, B.D. Bouma, C. Arellano, and W.G. Cope. 2013. Need for Improved Risk Communication of Fish Consumption Advisories to Protect Maternal and Child Health: Influence of Primary Informants. </w:t>
      </w:r>
      <w:r w:rsidR="0035695D" w:rsidRPr="0035695D">
        <w:rPr>
          <w:i/>
          <w:iCs/>
        </w:rPr>
        <w:t>International Journal of Environmental Research and Public Health</w:t>
      </w:r>
      <w:r w:rsidR="0035695D">
        <w:t xml:space="preserve"> </w:t>
      </w:r>
      <w:r w:rsidRPr="00FE42F1">
        <w:t>10:1720</w:t>
      </w:r>
      <w:r w:rsidR="00DF69D4">
        <w:t>–</w:t>
      </w:r>
      <w:r w:rsidRPr="00FE42F1">
        <w:t>1734.</w:t>
      </w:r>
    </w:p>
    <w:p w14:paraId="294A82DB" w14:textId="3F12F449" w:rsidR="00201093" w:rsidRDefault="00201093" w:rsidP="00201093">
      <w:r w:rsidRPr="00FE42F1">
        <w:lastRenderedPageBreak/>
        <w:t xml:space="preserve">May, H., and J. Burger. 1996. Fishing in </w:t>
      </w:r>
      <w:r>
        <w:t>a</w:t>
      </w:r>
      <w:r w:rsidRPr="00FE42F1">
        <w:t xml:space="preserve"> Polluted Estuary: Fishing Behavior, Fish Consumption </w:t>
      </w:r>
      <w:r>
        <w:t>a</w:t>
      </w:r>
      <w:r w:rsidRPr="00FE42F1">
        <w:t>nd Potential Ris</w:t>
      </w:r>
      <w:r>
        <w:t>k</w:t>
      </w:r>
      <w:r w:rsidRPr="009B7773">
        <w:t>.</w:t>
      </w:r>
      <w:r w:rsidRPr="009B7773">
        <w:rPr>
          <w:i/>
        </w:rPr>
        <w:t xml:space="preserve"> Risk Analysis</w:t>
      </w:r>
      <w:r w:rsidRPr="00FE42F1">
        <w:t xml:space="preserve"> 1(4):459</w:t>
      </w:r>
      <w:r>
        <w:t>–</w:t>
      </w:r>
      <w:r w:rsidRPr="00FE42F1">
        <w:t>471.</w:t>
      </w:r>
    </w:p>
    <w:p w14:paraId="322605FC" w14:textId="7E7137DD" w:rsidR="00AA7EC6" w:rsidRDefault="00AA7EC6" w:rsidP="00AA7EC6">
      <w:r w:rsidRPr="00FE42F1">
        <w:t xml:space="preserve">McDermott, M.H. 2003. Communicating a </w:t>
      </w:r>
      <w:r w:rsidR="000A6E49" w:rsidRPr="00FE42F1">
        <w:t xml:space="preserve">Complex Message </w:t>
      </w:r>
      <w:r w:rsidR="000A6E49">
        <w:t>t</w:t>
      </w:r>
      <w:r w:rsidR="000A6E49" w:rsidRPr="00FE42F1">
        <w:t xml:space="preserve">o </w:t>
      </w:r>
      <w:r w:rsidR="000A6E49">
        <w:t>t</w:t>
      </w:r>
      <w:r w:rsidR="000A6E49" w:rsidRPr="00FE42F1">
        <w:t xml:space="preserve">he Population Most </w:t>
      </w:r>
      <w:r w:rsidR="000A6E49">
        <w:t>a</w:t>
      </w:r>
      <w:r w:rsidR="000A6E49" w:rsidRPr="00FE42F1">
        <w:t xml:space="preserve">t Risk: </w:t>
      </w:r>
      <w:r w:rsidR="0035695D">
        <w:t>A</w:t>
      </w:r>
      <w:r w:rsidRPr="00FE42F1">
        <w:t xml:space="preserve">n </w:t>
      </w:r>
      <w:r w:rsidR="000A6E49" w:rsidRPr="00FE42F1">
        <w:t xml:space="preserve">Outreach Strategy </w:t>
      </w:r>
      <w:r w:rsidR="000A6E49">
        <w:t>f</w:t>
      </w:r>
      <w:r w:rsidR="000A6E49" w:rsidRPr="00FE42F1">
        <w:t>or Fish Consumption Advisories</w:t>
      </w:r>
      <w:r w:rsidRPr="00FE42F1">
        <w:t xml:space="preserve">. </w:t>
      </w:r>
      <w:r w:rsidRPr="00AA7EC6">
        <w:rPr>
          <w:i/>
        </w:rPr>
        <w:t>Applied Environmental Education and Communication: an International Journal</w:t>
      </w:r>
      <w:r w:rsidRPr="00FE42F1">
        <w:t xml:space="preserve"> 2(1):23</w:t>
      </w:r>
      <w:r w:rsidR="00DF69D4">
        <w:t>–</w:t>
      </w:r>
      <w:r w:rsidRPr="00FE42F1">
        <w:t>37.</w:t>
      </w:r>
    </w:p>
    <w:p w14:paraId="290A83A9" w14:textId="0202658D" w:rsidR="00FE42F1" w:rsidRDefault="00FE42F1" w:rsidP="00FE42F1">
      <w:r w:rsidRPr="00FE42F1">
        <w:t xml:space="preserve">OpinionWorks. </w:t>
      </w:r>
      <w:r w:rsidR="00AA62C9">
        <w:t>2012</w:t>
      </w:r>
      <w:r w:rsidRPr="00FE42F1">
        <w:t xml:space="preserve">. </w:t>
      </w:r>
      <w:r w:rsidRPr="00AA7EC6">
        <w:rPr>
          <w:i/>
        </w:rPr>
        <w:t>Addressing the Risk: Understanding and Changing Anglers' Attitudes about the Dangers of Consuming Anacostia River Fish</w:t>
      </w:r>
      <w:r w:rsidRPr="00FE42F1">
        <w:t>.</w:t>
      </w:r>
      <w:r w:rsidR="0035695D">
        <w:t xml:space="preserve"> OpinionWorks, Annapolis, MD.</w:t>
      </w:r>
    </w:p>
    <w:p w14:paraId="1369B3C1" w14:textId="5CA2D847" w:rsidR="00FE42F1" w:rsidRDefault="00FE42F1" w:rsidP="00FE42F1">
      <w:r w:rsidRPr="00FE42F1">
        <w:t xml:space="preserve">Pflugh, K.K., L. Lurig, L. Von Hagen, S. Von Hagen, and J. Burger. 1999. Urban </w:t>
      </w:r>
      <w:r w:rsidR="000A6E49" w:rsidRPr="00FE42F1">
        <w:t xml:space="preserve">Anglers' Perception </w:t>
      </w:r>
      <w:r w:rsidR="000A6E49">
        <w:t>o</w:t>
      </w:r>
      <w:r w:rsidR="000A6E49" w:rsidRPr="00FE42F1">
        <w:t xml:space="preserve">f Risk </w:t>
      </w:r>
      <w:r w:rsidR="00AA62C9">
        <w:t>f</w:t>
      </w:r>
      <w:r w:rsidR="00AA62C9" w:rsidRPr="00FE42F1">
        <w:t xml:space="preserve">rom </w:t>
      </w:r>
      <w:r w:rsidR="000A6E49" w:rsidRPr="00FE42F1">
        <w:t>Contaminated Fish</w:t>
      </w:r>
      <w:r w:rsidRPr="00FE42F1">
        <w:t>. </w:t>
      </w:r>
      <w:r w:rsidRPr="009B7773">
        <w:rPr>
          <w:i/>
        </w:rPr>
        <w:t>Science of the Total Environment</w:t>
      </w:r>
      <w:r w:rsidRPr="00FE42F1">
        <w:t> 228(2):203</w:t>
      </w:r>
      <w:r w:rsidR="00DF69D4">
        <w:t>–</w:t>
      </w:r>
      <w:r w:rsidRPr="00FE42F1">
        <w:t>218.</w:t>
      </w:r>
    </w:p>
    <w:p w14:paraId="59219FEB" w14:textId="100D114E" w:rsidR="00FE42F1" w:rsidRDefault="00FE42F1" w:rsidP="00FE42F1">
      <w:r w:rsidRPr="00FE42F1">
        <w:t xml:space="preserve">Shubat, P.J., K.A. Raatz, and R.A. Olson. 1996. Fish </w:t>
      </w:r>
      <w:r w:rsidR="000A6E49" w:rsidRPr="00FE42F1">
        <w:t xml:space="preserve">Consumption Advisories </w:t>
      </w:r>
      <w:r w:rsidR="00AA62C9">
        <w:t>a</w:t>
      </w:r>
      <w:r w:rsidR="00AA62C9" w:rsidRPr="00FE42F1">
        <w:t xml:space="preserve">nd </w:t>
      </w:r>
      <w:r w:rsidR="000A6E49" w:rsidRPr="00FE42F1">
        <w:t xml:space="preserve">Outreach Programs </w:t>
      </w:r>
      <w:r w:rsidR="00AA62C9">
        <w:t>f</w:t>
      </w:r>
      <w:r w:rsidR="00AA62C9" w:rsidRPr="00FE42F1">
        <w:t xml:space="preserve">or </w:t>
      </w:r>
      <w:r w:rsidRPr="00FE42F1">
        <w:t xml:space="preserve">Southeast Asian </w:t>
      </w:r>
      <w:r w:rsidR="000A6E49" w:rsidRPr="00FE42F1">
        <w:t>Immigrants</w:t>
      </w:r>
      <w:r w:rsidRPr="00FE42F1">
        <w:t xml:space="preserve">. </w:t>
      </w:r>
      <w:r w:rsidRPr="00AA7EC6">
        <w:rPr>
          <w:i/>
        </w:rPr>
        <w:t>Toxicology and Industrial Health</w:t>
      </w:r>
      <w:r w:rsidRPr="00FE42F1">
        <w:t xml:space="preserve"> 12(3-4):427</w:t>
      </w:r>
      <w:r w:rsidR="00DF69D4">
        <w:t>–</w:t>
      </w:r>
      <w:r w:rsidRPr="00FE42F1">
        <w:t>434.</w:t>
      </w:r>
    </w:p>
    <w:p w14:paraId="7A00EC09" w14:textId="605DA723" w:rsidR="00FE42F1" w:rsidRDefault="00FE42F1" w:rsidP="00FE42F1">
      <w:r w:rsidRPr="00FE42F1">
        <w:t xml:space="preserve">Tilden, J., L.P. Hanrahan, H. Anderson, C. Palit, J. Olson, and W. Mac Kenzie. 1997. Health </w:t>
      </w:r>
      <w:r w:rsidR="000A6E49" w:rsidRPr="00FE42F1">
        <w:t xml:space="preserve">Advisories </w:t>
      </w:r>
      <w:r w:rsidR="00AA62C9">
        <w:t>f</w:t>
      </w:r>
      <w:r w:rsidR="00AA62C9" w:rsidRPr="00FE42F1">
        <w:t xml:space="preserve">or </w:t>
      </w:r>
      <w:r w:rsidR="000A6E49" w:rsidRPr="00FE42F1">
        <w:t xml:space="preserve">Consumers </w:t>
      </w:r>
      <w:r w:rsidR="000A6E49">
        <w:t>o</w:t>
      </w:r>
      <w:r w:rsidR="000A6E49" w:rsidRPr="00FE42F1">
        <w:t xml:space="preserve">f </w:t>
      </w:r>
      <w:r w:rsidRPr="00FE42F1">
        <w:t xml:space="preserve">Great Lakes </w:t>
      </w:r>
      <w:r w:rsidR="000A6E49" w:rsidRPr="00FE42F1">
        <w:t xml:space="preserve">Sport Fish: Is </w:t>
      </w:r>
      <w:r w:rsidR="000A6E49">
        <w:t>t</w:t>
      </w:r>
      <w:r w:rsidR="000A6E49" w:rsidRPr="00FE42F1">
        <w:t>he Message Being Received</w:t>
      </w:r>
      <w:r w:rsidRPr="00FE42F1">
        <w:t>? </w:t>
      </w:r>
      <w:r w:rsidRPr="00AA7EC6">
        <w:rPr>
          <w:i/>
        </w:rPr>
        <w:t>Environmental Health Perspectives</w:t>
      </w:r>
      <w:r w:rsidRPr="00FE42F1">
        <w:t> 105(12):1360.</w:t>
      </w:r>
    </w:p>
    <w:p w14:paraId="106C042B" w14:textId="0C5C139C" w:rsidR="00AA7EC6" w:rsidRDefault="00AA7EC6" w:rsidP="00AA7EC6">
      <w:r w:rsidRPr="00FE42F1">
        <w:t xml:space="preserve">Westphal, L.M., M. Longoni, C.L. LeBlanc, and A. Wali. 2008. Anglers' </w:t>
      </w:r>
      <w:r w:rsidR="000A6E49" w:rsidRPr="00FE42F1">
        <w:t xml:space="preserve">Appraisals </w:t>
      </w:r>
      <w:r w:rsidR="000A6E49">
        <w:t>o</w:t>
      </w:r>
      <w:r w:rsidR="000A6E49" w:rsidRPr="00FE42F1">
        <w:t xml:space="preserve">f </w:t>
      </w:r>
      <w:r w:rsidR="000A6E49">
        <w:t>t</w:t>
      </w:r>
      <w:r w:rsidR="000A6E49" w:rsidRPr="00FE42F1">
        <w:t xml:space="preserve">he Risks </w:t>
      </w:r>
      <w:r w:rsidR="000A6E49">
        <w:t>o</w:t>
      </w:r>
      <w:r w:rsidR="000A6E49" w:rsidRPr="00FE42F1">
        <w:t xml:space="preserve">f Eating Sport-Caught Fish </w:t>
      </w:r>
      <w:r w:rsidR="000A6E49">
        <w:t>f</w:t>
      </w:r>
      <w:r w:rsidR="000A6E49" w:rsidRPr="00FE42F1">
        <w:t>rom Industrial Areas: Lessons</w:t>
      </w:r>
      <w:r w:rsidRPr="00FE42F1">
        <w:t xml:space="preserve"> from Chicago's Calumet Region. </w:t>
      </w:r>
      <w:r w:rsidRPr="009B7773">
        <w:rPr>
          <w:i/>
        </w:rPr>
        <w:t>Research in Human Ecology</w:t>
      </w:r>
      <w:r w:rsidRPr="00FE42F1">
        <w:t xml:space="preserve"> 51(1):46</w:t>
      </w:r>
      <w:r w:rsidR="00DF69D4">
        <w:t>–</w:t>
      </w:r>
      <w:r w:rsidRPr="00FE42F1">
        <w:t>62.</w:t>
      </w:r>
    </w:p>
    <w:p w14:paraId="1AE89281" w14:textId="77777777" w:rsidR="00AA7EC6" w:rsidRPr="00B05F4A" w:rsidRDefault="00AA7EC6"/>
    <w:sectPr w:rsidR="00AA7EC6" w:rsidRPr="00B05F4A" w:rsidSect="00CA4F9A">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79A20" w14:textId="77777777" w:rsidR="00003F15" w:rsidRDefault="00003F15" w:rsidP="00DE5782">
      <w:pPr>
        <w:spacing w:after="0" w:line="240" w:lineRule="auto"/>
      </w:pPr>
      <w:r>
        <w:separator/>
      </w:r>
    </w:p>
  </w:endnote>
  <w:endnote w:type="continuationSeparator" w:id="0">
    <w:p w14:paraId="78F9C228" w14:textId="77777777" w:rsidR="00003F15" w:rsidRDefault="00003F15" w:rsidP="00DE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009162"/>
      <w:docPartObj>
        <w:docPartGallery w:val="Page Numbers (Bottom of Page)"/>
        <w:docPartUnique/>
      </w:docPartObj>
    </w:sdtPr>
    <w:sdtEndPr>
      <w:rPr>
        <w:noProof/>
      </w:rPr>
    </w:sdtEndPr>
    <w:sdtContent>
      <w:p w14:paraId="55A01E02" w14:textId="77777777" w:rsidR="00FA20EF" w:rsidRDefault="00FA20EF">
        <w:pPr>
          <w:pStyle w:val="Footer"/>
          <w:jc w:val="right"/>
        </w:pPr>
        <w:r>
          <w:fldChar w:fldCharType="begin"/>
        </w:r>
        <w:r>
          <w:instrText xml:space="preserve"> PAGE   \* MERGEFORMAT </w:instrText>
        </w:r>
        <w:r>
          <w:fldChar w:fldCharType="separate"/>
        </w:r>
        <w:r w:rsidR="009323A6">
          <w:rPr>
            <w:noProof/>
          </w:rPr>
          <w:t>6</w:t>
        </w:r>
        <w:r>
          <w:rPr>
            <w:noProof/>
          </w:rPr>
          <w:fldChar w:fldCharType="end"/>
        </w:r>
      </w:p>
    </w:sdtContent>
  </w:sdt>
  <w:p w14:paraId="7AAC1DCC" w14:textId="25BE5EAD" w:rsidR="00FA20EF" w:rsidRDefault="00FA20EF" w:rsidP="00B3674C">
    <w:pPr>
      <w:pStyle w:val="Footer"/>
      <w:tabs>
        <w:tab w:val="clear" w:pos="4680"/>
        <w:tab w:val="clear" w:pos="9360"/>
        <w:tab w:val="left" w:pos="64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29C62" w14:textId="77777777" w:rsidR="00003F15" w:rsidRDefault="00003F15" w:rsidP="00DE5782">
      <w:pPr>
        <w:spacing w:after="0" w:line="240" w:lineRule="auto"/>
      </w:pPr>
      <w:r>
        <w:separator/>
      </w:r>
    </w:p>
  </w:footnote>
  <w:footnote w:type="continuationSeparator" w:id="0">
    <w:p w14:paraId="1EA7CEEB" w14:textId="77777777" w:rsidR="00003F15" w:rsidRDefault="00003F15" w:rsidP="00DE5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2774E" w14:textId="732A6630" w:rsidR="00FA20EF" w:rsidRDefault="00FA20EF" w:rsidP="00CA4F9A">
    <w:pPr>
      <w:pStyle w:val="Header"/>
      <w:jc w:val="right"/>
      <w:rPr>
        <w:i/>
      </w:rPr>
    </w:pPr>
    <w:r>
      <w:rPr>
        <w:i/>
        <w:noProof/>
      </w:rPr>
      <w:drawing>
        <wp:anchor distT="0" distB="0" distL="114300" distR="114300" simplePos="0" relativeHeight="251656704" behindDoc="1" locked="0" layoutInCell="1" allowOverlap="1" wp14:anchorId="00B796A6" wp14:editId="23C26F03">
          <wp:simplePos x="0" y="0"/>
          <wp:positionH relativeFrom="column">
            <wp:posOffset>-35169</wp:posOffset>
          </wp:positionH>
          <wp:positionV relativeFrom="paragraph">
            <wp:posOffset>-149469</wp:posOffset>
          </wp:positionV>
          <wp:extent cx="1441450" cy="555625"/>
          <wp:effectExtent l="0" t="0" r="6350" b="0"/>
          <wp:wrapTight wrapText="bothSides">
            <wp:wrapPolygon edited="0">
              <wp:start x="0" y="0"/>
              <wp:lineTo x="0" y="20736"/>
              <wp:lineTo x="21410" y="20736"/>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p_blu_horz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450" cy="555625"/>
                  </a:xfrm>
                  <a:prstGeom prst="rect">
                    <a:avLst/>
                  </a:prstGeom>
                </pic:spPr>
              </pic:pic>
            </a:graphicData>
          </a:graphic>
          <wp14:sizeRelH relativeFrom="margin">
            <wp14:pctWidth>0</wp14:pctWidth>
          </wp14:sizeRelH>
          <wp14:sizeRelV relativeFrom="margin">
            <wp14:pctHeight>0</wp14:pctHeight>
          </wp14:sizeRelV>
        </wp:anchor>
      </w:drawing>
    </w:r>
    <w:r>
      <w:rPr>
        <w:i/>
      </w:rPr>
      <w:t xml:space="preserve"> </w:t>
    </w:r>
    <w:r w:rsidRPr="00855EDD">
      <w:rPr>
        <w:i/>
      </w:rPr>
      <w:t>Technical Memo</w:t>
    </w:r>
    <w:r>
      <w:rPr>
        <w:i/>
      </w:rPr>
      <w:t xml:space="preserve">randum </w:t>
    </w:r>
    <w:r w:rsidRPr="00855EDD">
      <w:rPr>
        <w:i/>
      </w:rPr>
      <w:t xml:space="preserve">on </w:t>
    </w:r>
    <w:r w:rsidRPr="00C943CB">
      <w:rPr>
        <w:i/>
      </w:rPr>
      <w:t xml:space="preserve">Literature Review Findings </w:t>
    </w:r>
    <w:r>
      <w:rPr>
        <w:i/>
      </w:rPr>
      <w:br/>
    </w:r>
    <w:r w:rsidRPr="00C943CB">
      <w:rPr>
        <w:i/>
      </w:rPr>
      <w:t>on the Effectiveness of Fish Consumption Advisory Communication</w:t>
    </w:r>
    <w:r>
      <w:rPr>
        <w:i/>
      </w:rPr>
      <w:t>—11/22/16</w:t>
    </w:r>
  </w:p>
  <w:p w14:paraId="4513ACDD" w14:textId="68BE9348" w:rsidR="00FA20EF" w:rsidRPr="00C943CB" w:rsidRDefault="00FA20EF" w:rsidP="00CA4F9A">
    <w:pPr>
      <w:pStyle w:val="Header"/>
      <w:jc w:val="right"/>
      <w:rPr>
        <w:i/>
      </w:rPr>
    </w:pPr>
    <w:r>
      <w:rPr>
        <w:i/>
        <w:noProof/>
      </w:rPr>
      <mc:AlternateContent>
        <mc:Choice Requires="wps">
          <w:drawing>
            <wp:anchor distT="0" distB="0" distL="114300" distR="114300" simplePos="0" relativeHeight="251658752" behindDoc="0" locked="0" layoutInCell="1" allowOverlap="1" wp14:anchorId="16B2FB9C" wp14:editId="4948E3E5">
              <wp:simplePos x="0" y="0"/>
              <wp:positionH relativeFrom="column">
                <wp:posOffset>43815</wp:posOffset>
              </wp:positionH>
              <wp:positionV relativeFrom="paragraph">
                <wp:posOffset>14459</wp:posOffset>
              </wp:positionV>
              <wp:extent cx="5978769"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59787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76B352"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15pt" to="47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" strokecolor="#5b9bd5 [3204]" strokeweight=".5pt">
              <v:stroke joinstyle="miter"/>
            </v:line>
          </w:pict>
        </mc:Fallback>
      </mc:AlternateContent>
    </w:r>
  </w:p>
  <w:p w14:paraId="1CC71D12" w14:textId="3D7EDA34" w:rsidR="00FA20EF" w:rsidRDefault="00FA20EF" w:rsidP="000E5ACF">
    <w:pPr>
      <w:pStyle w:val="Header"/>
      <w:tabs>
        <w:tab w:val="left" w:pos="57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9CB3" w14:textId="10E1005C" w:rsidR="00FA20EF" w:rsidRPr="000E5ACF" w:rsidRDefault="00FA20EF" w:rsidP="000E5ACF">
    <w:pPr>
      <w:pStyle w:val="Header"/>
      <w:jc w:val="right"/>
      <w:rPr>
        <w:i/>
      </w:rPr>
    </w:pPr>
    <w:r>
      <w:rPr>
        <w:i/>
        <w:noProof/>
      </w:rPr>
      <mc:AlternateContent>
        <mc:Choice Requires="wps">
          <w:drawing>
            <wp:anchor distT="0" distB="0" distL="114300" distR="114300" simplePos="0" relativeHeight="251657728" behindDoc="0" locked="0" layoutInCell="1" allowOverlap="1" wp14:anchorId="1D6E11AB" wp14:editId="5E0FA475">
              <wp:simplePos x="0" y="0"/>
              <wp:positionH relativeFrom="column">
                <wp:posOffset>87922</wp:posOffset>
              </wp:positionH>
              <wp:positionV relativeFrom="paragraph">
                <wp:posOffset>342900</wp:posOffset>
              </wp:positionV>
              <wp:extent cx="5926015"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59260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0A4ABD"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pt,27pt" to="47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" strokecolor="#5b9bd5 [3204]" strokeweight=".5pt">
              <v:stroke joinstyle="miter"/>
            </v:line>
          </w:pict>
        </mc:Fallback>
      </mc:AlternateContent>
    </w:r>
    <w:r>
      <w:rPr>
        <w:i/>
        <w:noProof/>
      </w:rPr>
      <w:drawing>
        <wp:anchor distT="0" distB="0" distL="114300" distR="114300" simplePos="0" relativeHeight="251655680" behindDoc="1" locked="0" layoutInCell="1" allowOverlap="1" wp14:anchorId="6BBE88AE" wp14:editId="48ECFD0C">
          <wp:simplePos x="0" y="0"/>
          <wp:positionH relativeFrom="column">
            <wp:posOffset>-35169</wp:posOffset>
          </wp:positionH>
          <wp:positionV relativeFrom="paragraph">
            <wp:posOffset>-149469</wp:posOffset>
          </wp:positionV>
          <wp:extent cx="1441450" cy="555625"/>
          <wp:effectExtent l="0" t="0" r="6350" b="0"/>
          <wp:wrapTight wrapText="bothSides">
            <wp:wrapPolygon edited="0">
              <wp:start x="0" y="0"/>
              <wp:lineTo x="0" y="20736"/>
              <wp:lineTo x="21410" y="20736"/>
              <wp:lineTo x="214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p_blu_horz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450" cy="555625"/>
                  </a:xfrm>
                  <a:prstGeom prst="rect">
                    <a:avLst/>
                  </a:prstGeom>
                </pic:spPr>
              </pic:pic>
            </a:graphicData>
          </a:graphic>
          <wp14:sizeRelH relativeFrom="margin">
            <wp14:pctWidth>0</wp14:pctWidth>
          </wp14:sizeRelH>
          <wp14:sizeRelV relativeFrom="margin">
            <wp14:pctHeight>0</wp14:pctHeight>
          </wp14:sizeRelV>
        </wp:anchor>
      </w:drawing>
    </w:r>
    <w:r>
      <w:rPr>
        <w:i/>
      </w:rPr>
      <w:t xml:space="preserve"> </w:t>
    </w:r>
    <w:r w:rsidRPr="00855EDD">
      <w:rPr>
        <w:i/>
      </w:rPr>
      <w:t>Technical Memo</w:t>
    </w:r>
    <w:r>
      <w:rPr>
        <w:i/>
      </w:rPr>
      <w:t xml:space="preserve">randum </w:t>
    </w:r>
    <w:r w:rsidRPr="00855EDD">
      <w:rPr>
        <w:i/>
      </w:rPr>
      <w:t xml:space="preserve">on </w:t>
    </w:r>
    <w:r w:rsidRPr="000E5ACF">
      <w:rPr>
        <w:i/>
      </w:rPr>
      <w:t xml:space="preserve">Literature Review Findings </w:t>
    </w:r>
    <w:r>
      <w:rPr>
        <w:i/>
      </w:rPr>
      <w:br/>
    </w:r>
    <w:r w:rsidRPr="000E5ACF">
      <w:rPr>
        <w:i/>
      </w:rPr>
      <w:t>on the Effectiveness of Fish Consumption Advisory Communication</w:t>
    </w:r>
    <w:r>
      <w:rPr>
        <w:i/>
      </w:rPr>
      <w:t>—11/22/16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17A"/>
    <w:multiLevelType w:val="hybridMultilevel"/>
    <w:tmpl w:val="C946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7071F"/>
    <w:multiLevelType w:val="hybridMultilevel"/>
    <w:tmpl w:val="D170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24412"/>
    <w:multiLevelType w:val="hybridMultilevel"/>
    <w:tmpl w:val="4F82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87103"/>
    <w:multiLevelType w:val="hybridMultilevel"/>
    <w:tmpl w:val="83B6867A"/>
    <w:lvl w:ilvl="0" w:tplc="7820C53E">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7670"/>
    <w:multiLevelType w:val="hybridMultilevel"/>
    <w:tmpl w:val="DFB0DC8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3ED418D6"/>
    <w:multiLevelType w:val="hybridMultilevel"/>
    <w:tmpl w:val="DA7C6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74050E"/>
    <w:multiLevelType w:val="hybridMultilevel"/>
    <w:tmpl w:val="47B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33080"/>
    <w:multiLevelType w:val="hybridMultilevel"/>
    <w:tmpl w:val="798C72FC"/>
    <w:lvl w:ilvl="0" w:tplc="69240DD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D0C48"/>
    <w:multiLevelType w:val="hybridMultilevel"/>
    <w:tmpl w:val="B456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73F67"/>
    <w:multiLevelType w:val="hybridMultilevel"/>
    <w:tmpl w:val="CE6A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B208D"/>
    <w:multiLevelType w:val="hybridMultilevel"/>
    <w:tmpl w:val="E808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7E481E"/>
    <w:multiLevelType w:val="hybridMultilevel"/>
    <w:tmpl w:val="C01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720EC"/>
    <w:multiLevelType w:val="hybridMultilevel"/>
    <w:tmpl w:val="7524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
  </w:num>
  <w:num w:numId="4">
    <w:abstractNumId w:val="10"/>
  </w:num>
  <w:num w:numId="5">
    <w:abstractNumId w:val="6"/>
  </w:num>
  <w:num w:numId="6">
    <w:abstractNumId w:val="11"/>
  </w:num>
  <w:num w:numId="7">
    <w:abstractNumId w:val="5"/>
  </w:num>
  <w:num w:numId="8">
    <w:abstractNumId w:val="9"/>
  </w:num>
  <w:num w:numId="9">
    <w:abstractNumId w:val="7"/>
  </w:num>
  <w:num w:numId="10">
    <w:abstractNumId w:val="3"/>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07"/>
    <w:rsid w:val="00001DC3"/>
    <w:rsid w:val="00003F15"/>
    <w:rsid w:val="00034BA5"/>
    <w:rsid w:val="00034F76"/>
    <w:rsid w:val="00040912"/>
    <w:rsid w:val="00042490"/>
    <w:rsid w:val="0005420D"/>
    <w:rsid w:val="000672F9"/>
    <w:rsid w:val="000717C1"/>
    <w:rsid w:val="00071AD3"/>
    <w:rsid w:val="00075967"/>
    <w:rsid w:val="000966B8"/>
    <w:rsid w:val="00097BB8"/>
    <w:rsid w:val="000A181D"/>
    <w:rsid w:val="000A6E49"/>
    <w:rsid w:val="000B621A"/>
    <w:rsid w:val="000C2DF4"/>
    <w:rsid w:val="000D3CE0"/>
    <w:rsid w:val="000E5ACF"/>
    <w:rsid w:val="000E77F1"/>
    <w:rsid w:val="000F0595"/>
    <w:rsid w:val="000F1A72"/>
    <w:rsid w:val="000F2209"/>
    <w:rsid w:val="0010258C"/>
    <w:rsid w:val="001458A4"/>
    <w:rsid w:val="00151054"/>
    <w:rsid w:val="001610D9"/>
    <w:rsid w:val="00172672"/>
    <w:rsid w:val="00180928"/>
    <w:rsid w:val="001B17FE"/>
    <w:rsid w:val="001D4121"/>
    <w:rsid w:val="001E293F"/>
    <w:rsid w:val="001F641F"/>
    <w:rsid w:val="001F79C5"/>
    <w:rsid w:val="00201093"/>
    <w:rsid w:val="002010F0"/>
    <w:rsid w:val="00203674"/>
    <w:rsid w:val="00203D55"/>
    <w:rsid w:val="00204974"/>
    <w:rsid w:val="00227FE2"/>
    <w:rsid w:val="00231ABE"/>
    <w:rsid w:val="002356B5"/>
    <w:rsid w:val="00235E86"/>
    <w:rsid w:val="00252E40"/>
    <w:rsid w:val="00264458"/>
    <w:rsid w:val="00267ADF"/>
    <w:rsid w:val="0027710C"/>
    <w:rsid w:val="00284186"/>
    <w:rsid w:val="00285D06"/>
    <w:rsid w:val="0029184A"/>
    <w:rsid w:val="002A4C0B"/>
    <w:rsid w:val="002D4265"/>
    <w:rsid w:val="002E3299"/>
    <w:rsid w:val="002E79CC"/>
    <w:rsid w:val="002F000A"/>
    <w:rsid w:val="00321C6B"/>
    <w:rsid w:val="00321F7E"/>
    <w:rsid w:val="00333B2D"/>
    <w:rsid w:val="003350B2"/>
    <w:rsid w:val="00336430"/>
    <w:rsid w:val="003405FA"/>
    <w:rsid w:val="0035695D"/>
    <w:rsid w:val="00372DEF"/>
    <w:rsid w:val="00373B0B"/>
    <w:rsid w:val="003759D4"/>
    <w:rsid w:val="003B5102"/>
    <w:rsid w:val="003B6EFB"/>
    <w:rsid w:val="003C08A8"/>
    <w:rsid w:val="003D3728"/>
    <w:rsid w:val="003E79AC"/>
    <w:rsid w:val="003F4E71"/>
    <w:rsid w:val="0042217B"/>
    <w:rsid w:val="0042746C"/>
    <w:rsid w:val="00472020"/>
    <w:rsid w:val="00472FFD"/>
    <w:rsid w:val="004747B1"/>
    <w:rsid w:val="004821CF"/>
    <w:rsid w:val="00485679"/>
    <w:rsid w:val="00487642"/>
    <w:rsid w:val="00494BDF"/>
    <w:rsid w:val="00495F86"/>
    <w:rsid w:val="00497BCA"/>
    <w:rsid w:val="004B5D0E"/>
    <w:rsid w:val="004C19C1"/>
    <w:rsid w:val="004E0D40"/>
    <w:rsid w:val="004E4C55"/>
    <w:rsid w:val="004E4C7A"/>
    <w:rsid w:val="004F4F5A"/>
    <w:rsid w:val="004F5ABB"/>
    <w:rsid w:val="00502582"/>
    <w:rsid w:val="00506C77"/>
    <w:rsid w:val="00516729"/>
    <w:rsid w:val="00525366"/>
    <w:rsid w:val="005657F7"/>
    <w:rsid w:val="005664E5"/>
    <w:rsid w:val="00583A5B"/>
    <w:rsid w:val="00584097"/>
    <w:rsid w:val="005C2BF5"/>
    <w:rsid w:val="005D3006"/>
    <w:rsid w:val="005E6D24"/>
    <w:rsid w:val="005F5A4F"/>
    <w:rsid w:val="006207EC"/>
    <w:rsid w:val="00632931"/>
    <w:rsid w:val="0063539E"/>
    <w:rsid w:val="00647072"/>
    <w:rsid w:val="006702A6"/>
    <w:rsid w:val="00671AAF"/>
    <w:rsid w:val="00671F74"/>
    <w:rsid w:val="00673978"/>
    <w:rsid w:val="006A245B"/>
    <w:rsid w:val="006A3171"/>
    <w:rsid w:val="006A59F1"/>
    <w:rsid w:val="006C14FE"/>
    <w:rsid w:val="006D6056"/>
    <w:rsid w:val="006D7F8A"/>
    <w:rsid w:val="006E0E90"/>
    <w:rsid w:val="006E55A4"/>
    <w:rsid w:val="006F75E5"/>
    <w:rsid w:val="00711154"/>
    <w:rsid w:val="00712847"/>
    <w:rsid w:val="007354A5"/>
    <w:rsid w:val="00744647"/>
    <w:rsid w:val="0074653E"/>
    <w:rsid w:val="00791DD8"/>
    <w:rsid w:val="007B640E"/>
    <w:rsid w:val="00802051"/>
    <w:rsid w:val="00803BD7"/>
    <w:rsid w:val="0080711C"/>
    <w:rsid w:val="008073B8"/>
    <w:rsid w:val="0081408E"/>
    <w:rsid w:val="00825394"/>
    <w:rsid w:val="0082684C"/>
    <w:rsid w:val="00830463"/>
    <w:rsid w:val="00843A1A"/>
    <w:rsid w:val="00851DAE"/>
    <w:rsid w:val="00855CFF"/>
    <w:rsid w:val="00865AC2"/>
    <w:rsid w:val="0086758F"/>
    <w:rsid w:val="008733C5"/>
    <w:rsid w:val="008904E9"/>
    <w:rsid w:val="00896409"/>
    <w:rsid w:val="008A0EAD"/>
    <w:rsid w:val="008B099E"/>
    <w:rsid w:val="008B1A49"/>
    <w:rsid w:val="008C0200"/>
    <w:rsid w:val="008D52CD"/>
    <w:rsid w:val="008F2FCE"/>
    <w:rsid w:val="008F46B9"/>
    <w:rsid w:val="008F5684"/>
    <w:rsid w:val="00900B2E"/>
    <w:rsid w:val="00902914"/>
    <w:rsid w:val="00906761"/>
    <w:rsid w:val="00910E65"/>
    <w:rsid w:val="00920EC6"/>
    <w:rsid w:val="00923CDE"/>
    <w:rsid w:val="009300AB"/>
    <w:rsid w:val="00930B0E"/>
    <w:rsid w:val="009323A6"/>
    <w:rsid w:val="00941604"/>
    <w:rsid w:val="009538A6"/>
    <w:rsid w:val="009607B5"/>
    <w:rsid w:val="0098300E"/>
    <w:rsid w:val="009919EA"/>
    <w:rsid w:val="009B7773"/>
    <w:rsid w:val="009D50A8"/>
    <w:rsid w:val="009D6CEE"/>
    <w:rsid w:val="009E2CE1"/>
    <w:rsid w:val="009F2C00"/>
    <w:rsid w:val="009F719C"/>
    <w:rsid w:val="00A0464A"/>
    <w:rsid w:val="00A22986"/>
    <w:rsid w:val="00A27C42"/>
    <w:rsid w:val="00A365DD"/>
    <w:rsid w:val="00A40792"/>
    <w:rsid w:val="00A41B6B"/>
    <w:rsid w:val="00A874E6"/>
    <w:rsid w:val="00A92C3A"/>
    <w:rsid w:val="00AA62C9"/>
    <w:rsid w:val="00AA7EC6"/>
    <w:rsid w:val="00AB17D4"/>
    <w:rsid w:val="00AC7B07"/>
    <w:rsid w:val="00AD4350"/>
    <w:rsid w:val="00AF4137"/>
    <w:rsid w:val="00B0454B"/>
    <w:rsid w:val="00B05F4A"/>
    <w:rsid w:val="00B3674C"/>
    <w:rsid w:val="00B37086"/>
    <w:rsid w:val="00B421C7"/>
    <w:rsid w:val="00B46023"/>
    <w:rsid w:val="00B468A1"/>
    <w:rsid w:val="00B55035"/>
    <w:rsid w:val="00B63454"/>
    <w:rsid w:val="00B84033"/>
    <w:rsid w:val="00B87989"/>
    <w:rsid w:val="00BA0956"/>
    <w:rsid w:val="00BA0BE2"/>
    <w:rsid w:val="00BB6409"/>
    <w:rsid w:val="00BE2D7E"/>
    <w:rsid w:val="00BF3A81"/>
    <w:rsid w:val="00BF77CB"/>
    <w:rsid w:val="00C00EB2"/>
    <w:rsid w:val="00C1496C"/>
    <w:rsid w:val="00C1549A"/>
    <w:rsid w:val="00C2680F"/>
    <w:rsid w:val="00C40A73"/>
    <w:rsid w:val="00C566FD"/>
    <w:rsid w:val="00C56BE5"/>
    <w:rsid w:val="00C708FF"/>
    <w:rsid w:val="00C80454"/>
    <w:rsid w:val="00C91426"/>
    <w:rsid w:val="00CA4F9A"/>
    <w:rsid w:val="00CC0C64"/>
    <w:rsid w:val="00CC1E9C"/>
    <w:rsid w:val="00CD6631"/>
    <w:rsid w:val="00D44773"/>
    <w:rsid w:val="00D543A6"/>
    <w:rsid w:val="00D70C40"/>
    <w:rsid w:val="00D83F99"/>
    <w:rsid w:val="00D967C6"/>
    <w:rsid w:val="00DA5D8D"/>
    <w:rsid w:val="00DB0220"/>
    <w:rsid w:val="00DB1F55"/>
    <w:rsid w:val="00DD33F9"/>
    <w:rsid w:val="00DD71DF"/>
    <w:rsid w:val="00DE5782"/>
    <w:rsid w:val="00DE7AB0"/>
    <w:rsid w:val="00DF62D7"/>
    <w:rsid w:val="00DF69D4"/>
    <w:rsid w:val="00DF6CBD"/>
    <w:rsid w:val="00E105E1"/>
    <w:rsid w:val="00E14DCA"/>
    <w:rsid w:val="00E20795"/>
    <w:rsid w:val="00E46ECB"/>
    <w:rsid w:val="00E56D0E"/>
    <w:rsid w:val="00E70015"/>
    <w:rsid w:val="00E81820"/>
    <w:rsid w:val="00E873FF"/>
    <w:rsid w:val="00E97B22"/>
    <w:rsid w:val="00ED0196"/>
    <w:rsid w:val="00EF298E"/>
    <w:rsid w:val="00F03F02"/>
    <w:rsid w:val="00F07393"/>
    <w:rsid w:val="00F27516"/>
    <w:rsid w:val="00F27B35"/>
    <w:rsid w:val="00F432B5"/>
    <w:rsid w:val="00F52EC1"/>
    <w:rsid w:val="00F60A30"/>
    <w:rsid w:val="00F636A7"/>
    <w:rsid w:val="00F64830"/>
    <w:rsid w:val="00F8256F"/>
    <w:rsid w:val="00F84F13"/>
    <w:rsid w:val="00F864A5"/>
    <w:rsid w:val="00FA20EF"/>
    <w:rsid w:val="00FC5B24"/>
    <w:rsid w:val="00FC6970"/>
    <w:rsid w:val="00FD1E6F"/>
    <w:rsid w:val="00FD59A8"/>
    <w:rsid w:val="00FE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A6718"/>
  <w15:chartTrackingRefBased/>
  <w15:docId w15:val="{0E55CF8D-2E69-42A1-B74A-29E29B6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20"/>
    <w:next w:val="Normal"/>
    <w:link w:val="Heading2Char"/>
    <w:uiPriority w:val="9"/>
    <w:unhideWhenUsed/>
    <w:qFormat/>
    <w:rsid w:val="003350B2"/>
    <w:pPr>
      <w:outlineLvl w:val="1"/>
    </w:pPr>
  </w:style>
  <w:style w:type="paragraph" w:styleId="Heading3">
    <w:name w:val="heading 3"/>
    <w:basedOn w:val="Normal"/>
    <w:next w:val="Normal"/>
    <w:link w:val="Heading3Char"/>
    <w:uiPriority w:val="9"/>
    <w:unhideWhenUsed/>
    <w:qFormat/>
    <w:rsid w:val="00BF77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50B2"/>
    <w:rPr>
      <w:b/>
    </w:rPr>
  </w:style>
  <w:style w:type="character" w:customStyle="1" w:styleId="Heading1Char">
    <w:name w:val="Heading 1 Char"/>
    <w:basedOn w:val="DefaultParagraphFont"/>
    <w:link w:val="Heading1"/>
    <w:uiPriority w:val="9"/>
    <w:rsid w:val="0058409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B17FE"/>
    <w:pPr>
      <w:ind w:left="720"/>
      <w:contextualSpacing/>
    </w:pPr>
  </w:style>
  <w:style w:type="paragraph" w:styleId="Header">
    <w:name w:val="header"/>
    <w:basedOn w:val="Normal"/>
    <w:link w:val="HeaderChar"/>
    <w:uiPriority w:val="99"/>
    <w:unhideWhenUsed/>
    <w:rsid w:val="00DE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782"/>
  </w:style>
  <w:style w:type="paragraph" w:styleId="Footer">
    <w:name w:val="footer"/>
    <w:basedOn w:val="Normal"/>
    <w:link w:val="FooterChar"/>
    <w:uiPriority w:val="99"/>
    <w:unhideWhenUsed/>
    <w:rsid w:val="00DE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82"/>
  </w:style>
  <w:style w:type="table" w:styleId="TableGrid">
    <w:name w:val="Table Grid"/>
    <w:basedOn w:val="TableNormal"/>
    <w:uiPriority w:val="59"/>
    <w:rsid w:val="001E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77CB"/>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20795"/>
    <w:rPr>
      <w:sz w:val="16"/>
      <w:szCs w:val="16"/>
    </w:rPr>
  </w:style>
  <w:style w:type="paragraph" w:styleId="CommentText">
    <w:name w:val="annotation text"/>
    <w:basedOn w:val="Normal"/>
    <w:link w:val="CommentTextChar"/>
    <w:uiPriority w:val="99"/>
    <w:unhideWhenUsed/>
    <w:rsid w:val="00E20795"/>
    <w:pPr>
      <w:spacing w:line="240" w:lineRule="auto"/>
    </w:pPr>
    <w:rPr>
      <w:sz w:val="20"/>
      <w:szCs w:val="20"/>
    </w:rPr>
  </w:style>
  <w:style w:type="character" w:customStyle="1" w:styleId="CommentTextChar">
    <w:name w:val="Comment Text Char"/>
    <w:basedOn w:val="DefaultParagraphFont"/>
    <w:link w:val="CommentText"/>
    <w:uiPriority w:val="99"/>
    <w:rsid w:val="00E20795"/>
    <w:rPr>
      <w:sz w:val="20"/>
      <w:szCs w:val="20"/>
    </w:rPr>
  </w:style>
  <w:style w:type="paragraph" w:styleId="CommentSubject">
    <w:name w:val="annotation subject"/>
    <w:basedOn w:val="CommentText"/>
    <w:next w:val="CommentText"/>
    <w:link w:val="CommentSubjectChar"/>
    <w:uiPriority w:val="99"/>
    <w:semiHidden/>
    <w:unhideWhenUsed/>
    <w:rsid w:val="00E20795"/>
    <w:rPr>
      <w:b/>
      <w:bCs/>
    </w:rPr>
  </w:style>
  <w:style w:type="character" w:customStyle="1" w:styleId="CommentSubjectChar">
    <w:name w:val="Comment Subject Char"/>
    <w:basedOn w:val="CommentTextChar"/>
    <w:link w:val="CommentSubject"/>
    <w:uiPriority w:val="99"/>
    <w:semiHidden/>
    <w:rsid w:val="00E20795"/>
    <w:rPr>
      <w:b/>
      <w:bCs/>
      <w:sz w:val="20"/>
      <w:szCs w:val="20"/>
    </w:rPr>
  </w:style>
  <w:style w:type="paragraph" w:styleId="BalloonText">
    <w:name w:val="Balloon Text"/>
    <w:basedOn w:val="Normal"/>
    <w:link w:val="BalloonTextChar"/>
    <w:uiPriority w:val="99"/>
    <w:semiHidden/>
    <w:unhideWhenUsed/>
    <w:rsid w:val="00E20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795"/>
    <w:rPr>
      <w:rFonts w:ascii="Segoe UI" w:hAnsi="Segoe UI" w:cs="Segoe UI"/>
      <w:sz w:val="18"/>
      <w:szCs w:val="18"/>
    </w:rPr>
  </w:style>
  <w:style w:type="paragraph" w:styleId="Revision">
    <w:name w:val="Revision"/>
    <w:hidden/>
    <w:uiPriority w:val="99"/>
    <w:semiHidden/>
    <w:rsid w:val="008073B8"/>
    <w:pPr>
      <w:spacing w:after="0" w:line="240" w:lineRule="auto"/>
    </w:pPr>
  </w:style>
  <w:style w:type="paragraph" w:styleId="Title">
    <w:name w:val="Title"/>
    <w:basedOn w:val="Normal"/>
    <w:next w:val="Normal"/>
    <w:link w:val="TitleChar"/>
    <w:uiPriority w:val="10"/>
    <w:qFormat/>
    <w:rsid w:val="000409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912"/>
    <w:rPr>
      <w:rFonts w:asciiTheme="majorHAnsi" w:eastAsiaTheme="majorEastAsia" w:hAnsiTheme="majorHAnsi" w:cstheme="majorBidi"/>
      <w:spacing w:val="-10"/>
      <w:kern w:val="28"/>
      <w:sz w:val="56"/>
      <w:szCs w:val="56"/>
    </w:rPr>
  </w:style>
  <w:style w:type="character" w:customStyle="1" w:styleId="IntenseEmphasisBlue">
    <w:name w:val="Intense Emphasis Blue"/>
    <w:basedOn w:val="IntenseEmphasis"/>
    <w:uiPriority w:val="3"/>
    <w:qFormat/>
    <w:rsid w:val="00040912"/>
    <w:rPr>
      <w:b/>
      <w:bCs/>
      <w:i/>
      <w:iCs/>
      <w:color w:val="005596"/>
    </w:rPr>
  </w:style>
  <w:style w:type="character" w:styleId="IntenseEmphasis">
    <w:name w:val="Intense Emphasis"/>
    <w:basedOn w:val="DefaultParagraphFont"/>
    <w:uiPriority w:val="21"/>
    <w:qFormat/>
    <w:rsid w:val="00040912"/>
    <w:rPr>
      <w:i/>
      <w:iCs/>
      <w:color w:val="5B9BD5" w:themeColor="accent1"/>
    </w:rPr>
  </w:style>
  <w:style w:type="paragraph" w:customStyle="1" w:styleId="heading20">
    <w:name w:val="heading2"/>
    <w:basedOn w:val="Normal"/>
    <w:link w:val="heading2Char0"/>
    <w:qFormat/>
    <w:rsid w:val="003D3728"/>
    <w:pPr>
      <w:spacing w:before="280"/>
    </w:pPr>
    <w:rPr>
      <w:b/>
    </w:rPr>
  </w:style>
  <w:style w:type="character" w:customStyle="1" w:styleId="heading2Char0">
    <w:name w:val="heading2 Char"/>
    <w:basedOn w:val="DefaultParagraphFont"/>
    <w:link w:val="heading20"/>
    <w:rsid w:val="003D372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9275">
      <w:bodyDiv w:val="1"/>
      <w:marLeft w:val="0"/>
      <w:marRight w:val="0"/>
      <w:marTop w:val="0"/>
      <w:marBottom w:val="0"/>
      <w:divBdr>
        <w:top w:val="none" w:sz="0" w:space="0" w:color="auto"/>
        <w:left w:val="none" w:sz="0" w:space="0" w:color="auto"/>
        <w:bottom w:val="none" w:sz="0" w:space="0" w:color="auto"/>
        <w:right w:val="none" w:sz="0" w:space="0" w:color="auto"/>
      </w:divBdr>
    </w:div>
    <w:div w:id="1739788492">
      <w:bodyDiv w:val="1"/>
      <w:marLeft w:val="0"/>
      <w:marRight w:val="0"/>
      <w:marTop w:val="0"/>
      <w:marBottom w:val="0"/>
      <w:divBdr>
        <w:top w:val="none" w:sz="0" w:space="0" w:color="auto"/>
        <w:left w:val="none" w:sz="0" w:space="0" w:color="auto"/>
        <w:bottom w:val="none" w:sz="0" w:space="0" w:color="auto"/>
        <w:right w:val="none" w:sz="0" w:space="0" w:color="auto"/>
      </w:divBdr>
    </w:div>
    <w:div w:id="196588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5B58E27-AEE3-4DBB-B58D-59716A3E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5958</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Prendergast, Shannon</dc:creator>
  <cp:keywords/>
  <dc:description/>
  <cp:lastModifiedBy>Prendergast, Shannon</cp:lastModifiedBy>
  <cp:revision>2</cp:revision>
  <cp:lastPrinted>2016-11-22T19:10:00Z</cp:lastPrinted>
  <dcterms:created xsi:type="dcterms:W3CDTF">2016-11-22T20:15:00Z</dcterms:created>
  <dcterms:modified xsi:type="dcterms:W3CDTF">2016-11-22T20:15:00Z</dcterms:modified>
</cp:coreProperties>
</file>