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6DB" w:rsidRDefault="00A106DB">
      <w:pPr>
        <w:pStyle w:val="BodyText"/>
        <w:spacing w:before="8"/>
        <w:rPr>
          <w:rFonts w:ascii="Times New Roman"/>
          <w:sz w:val="20"/>
        </w:rPr>
      </w:pPr>
    </w:p>
    <w:p w:rsidR="00027E21" w:rsidRDefault="00017992" w:rsidP="00027E21">
      <w:pPr>
        <w:spacing w:before="54" w:line="237" w:lineRule="auto"/>
        <w:ind w:left="4050" w:right="2383" w:hanging="1"/>
        <w:jc w:val="center"/>
        <w:rPr>
          <w:b/>
          <w:sz w:val="24"/>
        </w:rPr>
      </w:pPr>
      <w:r>
        <w:rPr>
          <w:noProof/>
          <w:lang w:bidi="ar-SA"/>
        </w:rPr>
        <w:drawing>
          <wp:anchor distT="0" distB="0" distL="0" distR="0" simplePos="0" relativeHeight="251658240" behindDoc="0" locked="0" layoutInCell="1" allowOverlap="1">
            <wp:simplePos x="0" y="0"/>
            <wp:positionH relativeFrom="page">
              <wp:posOffset>293370</wp:posOffset>
            </wp:positionH>
            <wp:positionV relativeFrom="paragraph">
              <wp:posOffset>-151237</wp:posOffset>
            </wp:positionV>
            <wp:extent cx="1480439" cy="898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80439" cy="898525"/>
                    </a:xfrm>
                    <a:prstGeom prst="rect">
                      <a:avLst/>
                    </a:prstGeom>
                  </pic:spPr>
                </pic:pic>
              </a:graphicData>
            </a:graphic>
          </wp:anchor>
        </w:drawing>
      </w:r>
      <w:r w:rsidR="00027E21">
        <w:rPr>
          <w:b/>
          <w:sz w:val="24"/>
        </w:rPr>
        <w:t xml:space="preserve">Executive Council Planning </w:t>
      </w:r>
      <w:r w:rsidR="00953553">
        <w:rPr>
          <w:b/>
          <w:sz w:val="24"/>
        </w:rPr>
        <w:t>Team</w:t>
      </w:r>
      <w:r>
        <w:rPr>
          <w:b/>
          <w:sz w:val="24"/>
        </w:rPr>
        <w:t xml:space="preserve"> </w:t>
      </w:r>
    </w:p>
    <w:p w:rsidR="00027E21" w:rsidRDefault="00027E21">
      <w:pPr>
        <w:spacing w:before="54" w:line="237" w:lineRule="auto"/>
        <w:ind w:left="4426" w:right="2791" w:hanging="1"/>
        <w:jc w:val="center"/>
        <w:rPr>
          <w:b/>
          <w:sz w:val="24"/>
        </w:rPr>
      </w:pPr>
      <w:r>
        <w:rPr>
          <w:b/>
          <w:sz w:val="24"/>
        </w:rPr>
        <w:t>Biweekly</w:t>
      </w:r>
      <w:r w:rsidR="00017992">
        <w:rPr>
          <w:b/>
          <w:sz w:val="24"/>
        </w:rPr>
        <w:t xml:space="preserve"> Call Minutes </w:t>
      </w:r>
    </w:p>
    <w:p w:rsidR="00A106DB" w:rsidRDefault="002753EF">
      <w:pPr>
        <w:spacing w:before="54" w:line="237" w:lineRule="auto"/>
        <w:ind w:left="4426" w:right="2791" w:hanging="1"/>
        <w:jc w:val="center"/>
      </w:pPr>
      <w:r>
        <w:t>April 25</w:t>
      </w:r>
      <w:r w:rsidR="00017992">
        <w:t>, 2018</w:t>
      </w:r>
    </w:p>
    <w:p w:rsidR="00A106DB" w:rsidRDefault="00A106DB">
      <w:pPr>
        <w:pStyle w:val="BodyText"/>
        <w:rPr>
          <w:sz w:val="20"/>
        </w:rPr>
      </w:pPr>
    </w:p>
    <w:p w:rsidR="00A106DB" w:rsidRDefault="00A106DB">
      <w:pPr>
        <w:pStyle w:val="BodyText"/>
        <w:spacing w:before="9"/>
        <w:rPr>
          <w:sz w:val="19"/>
        </w:rPr>
      </w:pPr>
    </w:p>
    <w:p w:rsidR="00A106DB" w:rsidRDefault="00A106DB">
      <w:pPr>
        <w:rPr>
          <w:sz w:val="19"/>
        </w:rPr>
        <w:sectPr w:rsidR="00A106DB" w:rsidSect="005A79C0">
          <w:type w:val="continuous"/>
          <w:pgSz w:w="12240" w:h="15840"/>
          <w:pgMar w:top="1008" w:right="1325" w:bottom="1008" w:left="432" w:header="720" w:footer="720" w:gutter="0"/>
          <w:cols w:space="720"/>
        </w:sectPr>
      </w:pPr>
    </w:p>
    <w:p w:rsidR="00A106DB" w:rsidRDefault="00017992" w:rsidP="00017992">
      <w:pPr>
        <w:pStyle w:val="Heading1"/>
        <w:numPr>
          <w:ilvl w:val="0"/>
          <w:numId w:val="0"/>
        </w:numPr>
        <w:spacing w:before="56"/>
        <w:ind w:left="1080"/>
      </w:pPr>
      <w:r>
        <w:t>Participants</w:t>
      </w:r>
    </w:p>
    <w:p w:rsidR="003C0566" w:rsidRDefault="003C0566" w:rsidP="00E10065">
      <w:pPr>
        <w:pStyle w:val="BodyText"/>
        <w:spacing w:before="1"/>
        <w:ind w:left="1080" w:right="186"/>
        <w:sectPr w:rsidR="003C0566" w:rsidSect="005A79C0">
          <w:type w:val="continuous"/>
          <w:pgSz w:w="12240" w:h="15840"/>
          <w:pgMar w:top="1008" w:right="1325" w:bottom="1008" w:left="432" w:header="720" w:footer="720" w:gutter="0"/>
          <w:cols w:num="2" w:space="720" w:equalWidth="0">
            <w:col w:w="4686" w:space="1261"/>
            <w:col w:w="4536"/>
          </w:cols>
        </w:sectPr>
      </w:pPr>
    </w:p>
    <w:p w:rsidR="00E10065" w:rsidRDefault="00E10065" w:rsidP="00E10065">
      <w:pPr>
        <w:pStyle w:val="BodyText"/>
        <w:spacing w:before="1"/>
        <w:ind w:left="1080" w:right="186"/>
      </w:pPr>
      <w:r>
        <w:t>Rachel Felver, ACB-CBP (Chair)</w:t>
      </w:r>
    </w:p>
    <w:p w:rsidR="00E10065" w:rsidRDefault="00E10065" w:rsidP="00E10065">
      <w:pPr>
        <w:pStyle w:val="BodyText"/>
        <w:spacing w:before="1"/>
        <w:ind w:left="1080" w:right="186"/>
      </w:pPr>
      <w:r>
        <w:t>Lee Currey, MDE (Chair)</w:t>
      </w:r>
    </w:p>
    <w:p w:rsidR="00E10065" w:rsidRDefault="00E10065" w:rsidP="00E10065">
      <w:pPr>
        <w:pStyle w:val="BodyText"/>
        <w:spacing w:before="1"/>
        <w:ind w:left="1080" w:right="186"/>
      </w:pPr>
      <w:r>
        <w:t xml:space="preserve">Dave Goshorn, MD DNR (Chair) </w:t>
      </w:r>
    </w:p>
    <w:p w:rsidR="00E10065" w:rsidRDefault="00E10065" w:rsidP="00E10065">
      <w:pPr>
        <w:pStyle w:val="BodyText"/>
        <w:spacing w:before="1"/>
        <w:ind w:left="1080" w:right="186"/>
      </w:pPr>
      <w:r>
        <w:t>Laurel Abowd, CRC-CBP</w:t>
      </w:r>
    </w:p>
    <w:p w:rsidR="000F1A34" w:rsidRDefault="000F1A34" w:rsidP="00E10065">
      <w:pPr>
        <w:pStyle w:val="BodyText"/>
        <w:spacing w:before="1"/>
        <w:ind w:left="1080" w:right="186"/>
      </w:pPr>
      <w:r>
        <w:t>Katherine Antos, DC DOEE</w:t>
      </w:r>
    </w:p>
    <w:p w:rsidR="00E10065" w:rsidRDefault="00E10065" w:rsidP="00E10065">
      <w:pPr>
        <w:pStyle w:val="BodyText"/>
        <w:spacing w:before="1"/>
        <w:ind w:left="1080" w:right="186"/>
      </w:pPr>
      <w:r>
        <w:t>Carin Bisland, EPA-CBP</w:t>
      </w:r>
    </w:p>
    <w:p w:rsidR="002753EF" w:rsidRDefault="002753EF" w:rsidP="00E10065">
      <w:pPr>
        <w:pStyle w:val="BodyText"/>
        <w:spacing w:before="1"/>
        <w:ind w:left="1080" w:right="186"/>
      </w:pPr>
      <w:r>
        <w:t>Greg Barranco, EPA-CBP</w:t>
      </w:r>
    </w:p>
    <w:p w:rsidR="002753EF" w:rsidRDefault="002753EF" w:rsidP="00E10065">
      <w:pPr>
        <w:pStyle w:val="BodyText"/>
        <w:spacing w:before="1"/>
        <w:ind w:left="1080" w:right="186"/>
      </w:pPr>
      <w:r>
        <w:t>Jess Blackburn, CAC</w:t>
      </w:r>
    </w:p>
    <w:p w:rsidR="00E10065" w:rsidRDefault="00E10065" w:rsidP="00E10065">
      <w:pPr>
        <w:pStyle w:val="BodyText"/>
        <w:spacing w:before="1"/>
        <w:ind w:left="1080" w:right="186"/>
      </w:pPr>
      <w:r>
        <w:t>Rebecca Chillrud, CRC-CBP</w:t>
      </w:r>
    </w:p>
    <w:p w:rsidR="002753EF" w:rsidRDefault="002753EF" w:rsidP="00E10065">
      <w:pPr>
        <w:pStyle w:val="BodyText"/>
        <w:spacing w:before="1"/>
        <w:ind w:left="1080" w:right="186"/>
      </w:pPr>
      <w:r>
        <w:t>Cassandra Davis, NY DEC</w:t>
      </w:r>
    </w:p>
    <w:p w:rsidR="002753EF" w:rsidRDefault="002753EF" w:rsidP="00E10065">
      <w:pPr>
        <w:pStyle w:val="BodyText"/>
        <w:spacing w:before="1"/>
        <w:ind w:left="1080" w:right="186"/>
      </w:pPr>
      <w:r>
        <w:t>Melissa Fagan, STAC</w:t>
      </w:r>
    </w:p>
    <w:p w:rsidR="00540303" w:rsidRDefault="00540303" w:rsidP="00E10065">
      <w:pPr>
        <w:pStyle w:val="BodyText"/>
        <w:spacing w:before="1"/>
        <w:ind w:left="1080" w:right="186"/>
      </w:pPr>
      <w:r>
        <w:t>Marcia Fox, DNREC</w:t>
      </w:r>
    </w:p>
    <w:p w:rsidR="00E10065" w:rsidRDefault="00E10065" w:rsidP="00E10065">
      <w:pPr>
        <w:pStyle w:val="BodyText"/>
        <w:spacing w:before="1"/>
        <w:ind w:left="1080" w:right="186"/>
      </w:pPr>
      <w:r>
        <w:t>Mary Gattis, LGAC</w:t>
      </w:r>
    </w:p>
    <w:p w:rsidR="00E10065" w:rsidRDefault="00E10065" w:rsidP="00E10065">
      <w:pPr>
        <w:pStyle w:val="BodyText"/>
        <w:spacing w:before="1"/>
        <w:ind w:left="1080" w:right="186"/>
      </w:pPr>
      <w:r>
        <w:t>Ann Jennings, VA DEQ</w:t>
      </w:r>
    </w:p>
    <w:p w:rsidR="002753EF" w:rsidRDefault="002753EF" w:rsidP="00E10065">
      <w:pPr>
        <w:pStyle w:val="BodyText"/>
        <w:spacing w:before="1"/>
        <w:ind w:left="1080" w:right="186"/>
      </w:pPr>
      <w:r>
        <w:t>Nicki Kasi, PA DEP</w:t>
      </w:r>
    </w:p>
    <w:p w:rsidR="00E10065" w:rsidRDefault="00E10065" w:rsidP="00E10065">
      <w:pPr>
        <w:pStyle w:val="BodyText"/>
        <w:spacing w:before="1"/>
        <w:ind w:left="1080" w:right="186"/>
      </w:pPr>
      <w:r>
        <w:t>Teresa Koons, WV</w:t>
      </w:r>
    </w:p>
    <w:p w:rsidR="003C0566" w:rsidRDefault="003C0566" w:rsidP="00E10065">
      <w:pPr>
        <w:pStyle w:val="BodyText"/>
        <w:spacing w:before="1"/>
        <w:ind w:left="1080" w:right="186"/>
      </w:pPr>
      <w:r w:rsidRPr="00B0725A">
        <w:t>Mark</w:t>
      </w:r>
      <w:r w:rsidR="00B0725A">
        <w:t xml:space="preserve"> Hoffman, CBC</w:t>
      </w:r>
    </w:p>
    <w:p w:rsidR="002813A2" w:rsidRDefault="002813A2" w:rsidP="003C0566">
      <w:pPr>
        <w:pStyle w:val="BodyText"/>
        <w:spacing w:before="1"/>
        <w:ind w:right="186"/>
        <w:sectPr w:rsidR="002813A2" w:rsidSect="005A79C0">
          <w:type w:val="continuous"/>
          <w:pgSz w:w="12240" w:h="15840"/>
          <w:pgMar w:top="1008" w:right="1325" w:bottom="1008" w:left="432" w:header="720" w:footer="720" w:gutter="0"/>
          <w:cols w:num="2" w:space="720" w:equalWidth="0">
            <w:col w:w="4686" w:space="1261"/>
            <w:col w:w="4536"/>
          </w:cols>
        </w:sectPr>
      </w:pPr>
    </w:p>
    <w:p w:rsidR="005A79C0" w:rsidRDefault="005A79C0" w:rsidP="003C0566">
      <w:pPr>
        <w:pStyle w:val="Heading1"/>
        <w:numPr>
          <w:ilvl w:val="0"/>
          <w:numId w:val="0"/>
        </w:numPr>
        <w:spacing w:before="56"/>
        <w:sectPr w:rsidR="005A79C0" w:rsidSect="005A79C0">
          <w:type w:val="continuous"/>
          <w:pgSz w:w="12240" w:h="15840"/>
          <w:pgMar w:top="1008" w:right="1325" w:bottom="1008" w:left="432" w:header="720" w:footer="720" w:gutter="0"/>
          <w:cols w:num="2" w:space="1261"/>
        </w:sectPr>
      </w:pPr>
    </w:p>
    <w:p w:rsidR="00A106DB" w:rsidRDefault="00017992">
      <w:pPr>
        <w:pStyle w:val="BodyText"/>
        <w:spacing w:before="8"/>
        <w:rPr>
          <w:sz w:val="26"/>
        </w:rPr>
      </w:pPr>
      <w:r>
        <w:br w:type="column"/>
      </w:r>
    </w:p>
    <w:p w:rsidR="00A106DB" w:rsidRDefault="00A106DB">
      <w:pPr>
        <w:sectPr w:rsidR="00A106DB" w:rsidSect="005A79C0">
          <w:type w:val="continuous"/>
          <w:pgSz w:w="12240" w:h="15840"/>
          <w:pgMar w:top="1008" w:right="1325" w:bottom="1008" w:left="432" w:header="720" w:footer="720" w:gutter="0"/>
          <w:cols w:num="2" w:space="720" w:equalWidth="0">
            <w:col w:w="4686" w:space="1261"/>
            <w:col w:w="4536"/>
          </w:cols>
        </w:sectPr>
      </w:pPr>
    </w:p>
    <w:p w:rsidR="00A106DB" w:rsidRDefault="00A106DB">
      <w:pPr>
        <w:pStyle w:val="BodyText"/>
        <w:spacing w:before="3"/>
        <w:rPr>
          <w:sz w:val="17"/>
        </w:rPr>
      </w:pPr>
    </w:p>
    <w:p w:rsidR="00A106DB" w:rsidRPr="002F244A" w:rsidRDefault="00017992" w:rsidP="002F244A">
      <w:pPr>
        <w:pStyle w:val="Heading1"/>
        <w:numPr>
          <w:ilvl w:val="0"/>
          <w:numId w:val="1"/>
        </w:numPr>
        <w:tabs>
          <w:tab w:val="left" w:pos="1800"/>
          <w:tab w:val="left" w:pos="1801"/>
        </w:tabs>
        <w:spacing w:before="56" w:after="240"/>
      </w:pPr>
      <w:r>
        <w:t>Welcome</w:t>
      </w:r>
      <w:r w:rsidR="00BF2CD3">
        <w:t>/Roll Call</w:t>
      </w:r>
    </w:p>
    <w:p w:rsidR="00A106DB" w:rsidRDefault="00BF2CD3" w:rsidP="002F244A">
      <w:pPr>
        <w:pStyle w:val="Heading1"/>
        <w:numPr>
          <w:ilvl w:val="0"/>
          <w:numId w:val="1"/>
        </w:numPr>
        <w:spacing w:after="240"/>
      </w:pPr>
      <w:r>
        <w:t>EC Member Availability</w:t>
      </w:r>
    </w:p>
    <w:p w:rsidR="00B0725A" w:rsidRDefault="00540303" w:rsidP="00C41420">
      <w:pPr>
        <w:pStyle w:val="Heading1"/>
        <w:numPr>
          <w:ilvl w:val="1"/>
          <w:numId w:val="1"/>
        </w:numPr>
        <w:rPr>
          <w:b w:val="0"/>
        </w:rPr>
      </w:pPr>
      <w:r>
        <w:rPr>
          <w:b w:val="0"/>
        </w:rPr>
        <w:t>New options from MD: August 7 or 14</w:t>
      </w:r>
    </w:p>
    <w:p w:rsidR="00540303" w:rsidRDefault="00540303" w:rsidP="00C41420">
      <w:pPr>
        <w:pStyle w:val="Heading1"/>
        <w:numPr>
          <w:ilvl w:val="1"/>
          <w:numId w:val="1"/>
        </w:numPr>
        <w:rPr>
          <w:b w:val="0"/>
        </w:rPr>
      </w:pPr>
      <w:r>
        <w:rPr>
          <w:b w:val="0"/>
        </w:rPr>
        <w:t>Both options work for CBC, LGAC</w:t>
      </w:r>
      <w:r w:rsidR="00630C03">
        <w:rPr>
          <w:b w:val="0"/>
        </w:rPr>
        <w:t xml:space="preserve"> and CAC.</w:t>
      </w:r>
    </w:p>
    <w:p w:rsidR="00540303" w:rsidRDefault="00540303" w:rsidP="00C41420">
      <w:pPr>
        <w:pStyle w:val="Heading1"/>
        <w:numPr>
          <w:ilvl w:val="1"/>
          <w:numId w:val="1"/>
        </w:numPr>
        <w:rPr>
          <w:b w:val="0"/>
        </w:rPr>
      </w:pPr>
      <w:r>
        <w:rPr>
          <w:b w:val="0"/>
        </w:rPr>
        <w:t>Still waiting on confirmation from everyone else</w:t>
      </w:r>
    </w:p>
    <w:p w:rsidR="00630C03" w:rsidRDefault="00630C03" w:rsidP="00C41420">
      <w:pPr>
        <w:pStyle w:val="Heading1"/>
        <w:numPr>
          <w:ilvl w:val="1"/>
          <w:numId w:val="1"/>
        </w:numPr>
        <w:rPr>
          <w:b w:val="0"/>
        </w:rPr>
      </w:pPr>
      <w:r>
        <w:rPr>
          <w:b w:val="0"/>
        </w:rPr>
        <w:t>June 7 and 8 can be released from calendars.</w:t>
      </w:r>
    </w:p>
    <w:p w:rsidR="00E10065" w:rsidRPr="00C41420" w:rsidRDefault="00E10065" w:rsidP="00E10065">
      <w:pPr>
        <w:pStyle w:val="Heading1"/>
        <w:numPr>
          <w:ilvl w:val="0"/>
          <w:numId w:val="0"/>
        </w:numPr>
        <w:ind w:left="1800"/>
        <w:rPr>
          <w:b w:val="0"/>
        </w:rPr>
      </w:pPr>
    </w:p>
    <w:p w:rsidR="00A106DB" w:rsidRDefault="00BF2CD3" w:rsidP="002F244A">
      <w:pPr>
        <w:pStyle w:val="Heading1"/>
        <w:numPr>
          <w:ilvl w:val="0"/>
          <w:numId w:val="1"/>
        </w:numPr>
        <w:tabs>
          <w:tab w:val="left" w:pos="1800"/>
          <w:tab w:val="left" w:pos="1801"/>
        </w:tabs>
        <w:spacing w:after="240"/>
      </w:pPr>
      <w:r>
        <w:t>Location</w:t>
      </w:r>
    </w:p>
    <w:p w:rsidR="00E10065" w:rsidRPr="00E10065" w:rsidRDefault="00E10065" w:rsidP="00E10065">
      <w:pPr>
        <w:pStyle w:val="Heading1"/>
        <w:numPr>
          <w:ilvl w:val="0"/>
          <w:numId w:val="4"/>
        </w:numPr>
        <w:tabs>
          <w:tab w:val="left" w:pos="1800"/>
          <w:tab w:val="left" w:pos="1801"/>
        </w:tabs>
        <w:ind w:left="1800"/>
      </w:pPr>
      <w:r>
        <w:rPr>
          <w:b w:val="0"/>
        </w:rPr>
        <w:t>Promising Options</w:t>
      </w:r>
    </w:p>
    <w:p w:rsidR="00E10065" w:rsidRPr="00940637" w:rsidRDefault="00173F62" w:rsidP="00940637">
      <w:pPr>
        <w:pStyle w:val="Heading1"/>
        <w:numPr>
          <w:ilvl w:val="1"/>
          <w:numId w:val="4"/>
        </w:numPr>
        <w:tabs>
          <w:tab w:val="left" w:pos="1800"/>
          <w:tab w:val="left" w:pos="1801"/>
        </w:tabs>
        <w:ind w:left="2520"/>
      </w:pPr>
      <w:hyperlink r:id="rId6" w:history="1">
        <w:r w:rsidR="00940637" w:rsidRPr="00940637">
          <w:rPr>
            <w:rStyle w:val="Hyperlink"/>
          </w:rPr>
          <w:t>Douglass-Myers Maritime P</w:t>
        </w:r>
        <w:r w:rsidR="00E10065" w:rsidRPr="00940637">
          <w:rPr>
            <w:rStyle w:val="Hyperlink"/>
          </w:rPr>
          <w:t>ark</w:t>
        </w:r>
      </w:hyperlink>
      <w:r w:rsidR="00E10065">
        <w:rPr>
          <w:b w:val="0"/>
        </w:rPr>
        <w:t xml:space="preserve">, Living Classrooms. </w:t>
      </w:r>
      <w:r w:rsidR="00940637">
        <w:rPr>
          <w:b w:val="0"/>
        </w:rPr>
        <w:t>Fits up to 150 people seated. Choice of eight caterers. Cost: $1600 to rent the space.</w:t>
      </w:r>
    </w:p>
    <w:p w:rsidR="00940637" w:rsidRPr="00540303" w:rsidRDefault="00173F62" w:rsidP="00940637">
      <w:pPr>
        <w:pStyle w:val="Heading1"/>
        <w:numPr>
          <w:ilvl w:val="1"/>
          <w:numId w:val="4"/>
        </w:numPr>
        <w:tabs>
          <w:tab w:val="left" w:pos="1800"/>
          <w:tab w:val="left" w:pos="1801"/>
        </w:tabs>
        <w:ind w:left="2520"/>
      </w:pPr>
      <w:hyperlink r:id="rId7" w:history="1">
        <w:r w:rsidR="00940637" w:rsidRPr="00940637">
          <w:rPr>
            <w:rStyle w:val="Hyperlink"/>
          </w:rPr>
          <w:t>American Visionary Art Museum.</w:t>
        </w:r>
      </w:hyperlink>
      <w:r w:rsidR="00940637">
        <w:rPr>
          <w:b w:val="0"/>
        </w:rPr>
        <w:t xml:space="preserve"> Banquet room seats 400 people. Choice of 11 caterers. Cost: $4500 for Mon, Tue, or Wed; $5500 for Thu; $6000 for Fri. This museum also has a sculpture barn available to rent, but this space is not air conditioned.</w:t>
      </w:r>
    </w:p>
    <w:p w:rsidR="00540303" w:rsidRDefault="00173F62" w:rsidP="00540303">
      <w:pPr>
        <w:pStyle w:val="Heading1"/>
        <w:numPr>
          <w:ilvl w:val="1"/>
          <w:numId w:val="9"/>
        </w:numPr>
        <w:tabs>
          <w:tab w:val="left" w:pos="1801"/>
        </w:tabs>
        <w:ind w:left="2520"/>
      </w:pPr>
      <w:hyperlink r:id="rId8" w:history="1">
        <w:proofErr w:type="spellStart"/>
        <w:r w:rsidR="00540303">
          <w:rPr>
            <w:rStyle w:val="Hyperlink"/>
          </w:rPr>
          <w:t>Cylburn</w:t>
        </w:r>
        <w:proofErr w:type="spellEnd"/>
        <w:r w:rsidR="00540303">
          <w:rPr>
            <w:rStyle w:val="Hyperlink"/>
          </w:rPr>
          <w:t xml:space="preserve"> Mansion and Arboretum</w:t>
        </w:r>
      </w:hyperlink>
      <w:r w:rsidR="00540303">
        <w:t xml:space="preserve"> </w:t>
      </w:r>
      <w:r w:rsidR="00540303">
        <w:rPr>
          <w:b w:val="0"/>
        </w:rPr>
        <w:t>Visitor center seats up to 200 people. Mansion seats 65-75 people. Visitor center - $250/</w:t>
      </w:r>
      <w:proofErr w:type="spellStart"/>
      <w:r w:rsidR="00540303">
        <w:rPr>
          <w:b w:val="0"/>
        </w:rPr>
        <w:t>hr</w:t>
      </w:r>
      <w:proofErr w:type="spellEnd"/>
      <w:r w:rsidR="00540303">
        <w:rPr>
          <w:b w:val="0"/>
        </w:rPr>
        <w:t>; Mansion - $125/hr. Not available on Mondays. Has a preferred caterer list.</w:t>
      </w:r>
    </w:p>
    <w:p w:rsidR="00540303" w:rsidRDefault="00173F62" w:rsidP="00540303">
      <w:pPr>
        <w:pStyle w:val="Heading1"/>
        <w:numPr>
          <w:ilvl w:val="1"/>
          <w:numId w:val="9"/>
        </w:numPr>
        <w:tabs>
          <w:tab w:val="left" w:pos="1801"/>
        </w:tabs>
        <w:ind w:left="2520"/>
      </w:pPr>
      <w:hyperlink r:id="rId9" w:history="1">
        <w:r w:rsidR="00540303">
          <w:rPr>
            <w:rStyle w:val="Hyperlink"/>
          </w:rPr>
          <w:t>Baltimore Museum of Art</w:t>
        </w:r>
      </w:hyperlink>
      <w:r w:rsidR="00540303">
        <w:t xml:space="preserve"> </w:t>
      </w:r>
      <w:r w:rsidR="00540303">
        <w:rPr>
          <w:b w:val="0"/>
        </w:rPr>
        <w:t>Auditorium seats 363. Fox Court seats 200 and is only available on Monday or Tuesday. Auditorium - $1500; Fox Court - $6500</w:t>
      </w:r>
    </w:p>
    <w:p w:rsidR="00540303" w:rsidRPr="00940637" w:rsidRDefault="00540303" w:rsidP="00940637">
      <w:pPr>
        <w:pStyle w:val="Heading1"/>
        <w:numPr>
          <w:ilvl w:val="1"/>
          <w:numId w:val="4"/>
        </w:numPr>
        <w:tabs>
          <w:tab w:val="left" w:pos="1800"/>
          <w:tab w:val="left" w:pos="1801"/>
        </w:tabs>
        <w:ind w:left="2520"/>
      </w:pPr>
      <w:r>
        <w:t>Columbus Center</w:t>
      </w:r>
    </w:p>
    <w:p w:rsidR="00940637" w:rsidRPr="002F244A" w:rsidRDefault="00940637" w:rsidP="00940637">
      <w:pPr>
        <w:pStyle w:val="Heading1"/>
        <w:numPr>
          <w:ilvl w:val="0"/>
          <w:numId w:val="0"/>
        </w:numPr>
        <w:tabs>
          <w:tab w:val="left" w:pos="1800"/>
          <w:tab w:val="left" w:pos="1801"/>
        </w:tabs>
        <w:ind w:left="2520"/>
      </w:pPr>
    </w:p>
    <w:p w:rsidR="00540303" w:rsidRDefault="00540303" w:rsidP="00540303">
      <w:pPr>
        <w:pStyle w:val="Heading1"/>
        <w:numPr>
          <w:ilvl w:val="0"/>
          <w:numId w:val="1"/>
        </w:numPr>
        <w:spacing w:after="240"/>
      </w:pPr>
      <w:r>
        <w:t>Potential Nonpoint Source Resolution/Directive</w:t>
      </w:r>
    </w:p>
    <w:p w:rsidR="00540303" w:rsidRPr="00540303" w:rsidRDefault="00540303" w:rsidP="00540303">
      <w:pPr>
        <w:pStyle w:val="Heading1"/>
        <w:numPr>
          <w:ilvl w:val="1"/>
          <w:numId w:val="1"/>
        </w:numPr>
      </w:pPr>
      <w:r>
        <w:rPr>
          <w:b w:val="0"/>
        </w:rPr>
        <w:t>This would focus on the fact that future actions will need to target nonpoint sources. Evolved from the previous agricultural technical assistance idea.</w:t>
      </w:r>
    </w:p>
    <w:p w:rsidR="00540303" w:rsidRPr="00702700" w:rsidRDefault="00540303" w:rsidP="00540303">
      <w:pPr>
        <w:pStyle w:val="Heading1"/>
        <w:numPr>
          <w:ilvl w:val="1"/>
          <w:numId w:val="1"/>
        </w:numPr>
      </w:pPr>
      <w:r>
        <w:rPr>
          <w:b w:val="0"/>
        </w:rPr>
        <w:t xml:space="preserve">Whereas statements: </w:t>
      </w:r>
    </w:p>
    <w:p w:rsidR="00702700" w:rsidRPr="00702700" w:rsidRDefault="00702700" w:rsidP="00702700">
      <w:pPr>
        <w:pStyle w:val="Heading1"/>
        <w:numPr>
          <w:ilvl w:val="2"/>
          <w:numId w:val="1"/>
        </w:numPr>
        <w:ind w:left="2520"/>
        <w:rPr>
          <w:b w:val="0"/>
        </w:rPr>
      </w:pPr>
      <w:r w:rsidRPr="00702700">
        <w:rPr>
          <w:b w:val="0"/>
        </w:rPr>
        <w:t xml:space="preserve">Reaching our goal of a restored Chesapeake Bay will depend on us placing increased emphasis and realizing greater success from reductions in non-point source loads than </w:t>
      </w:r>
      <w:r w:rsidRPr="00702700">
        <w:rPr>
          <w:b w:val="0"/>
        </w:rPr>
        <w:lastRenderedPageBreak/>
        <w:t>previously.</w:t>
      </w:r>
    </w:p>
    <w:p w:rsidR="00702700" w:rsidRPr="00702700" w:rsidRDefault="00702700" w:rsidP="00702700">
      <w:pPr>
        <w:pStyle w:val="Heading1"/>
        <w:numPr>
          <w:ilvl w:val="2"/>
          <w:numId w:val="1"/>
        </w:numPr>
        <w:ind w:left="2520"/>
        <w:rPr>
          <w:b w:val="0"/>
        </w:rPr>
      </w:pPr>
      <w:r w:rsidRPr="00702700">
        <w:rPr>
          <w:b w:val="0"/>
        </w:rPr>
        <w:t>Achieving reductions in non-point source pollutants depends on implementing a wide variety of technically complex practices throughout both the rural and urban portions of our watershed.</w:t>
      </w:r>
    </w:p>
    <w:p w:rsidR="00702700" w:rsidRPr="00702700" w:rsidRDefault="00702700" w:rsidP="00702700">
      <w:pPr>
        <w:pStyle w:val="Heading1"/>
        <w:numPr>
          <w:ilvl w:val="2"/>
          <w:numId w:val="1"/>
        </w:numPr>
        <w:ind w:left="2520"/>
        <w:rPr>
          <w:b w:val="0"/>
        </w:rPr>
      </w:pPr>
      <w:r w:rsidRPr="00702700">
        <w:rPr>
          <w:b w:val="0"/>
        </w:rPr>
        <w:t>Increased technical support and funding to our farmers and local jurisdictions is essential if we are to be successful at implementing this wide variety of non-point source practices.</w:t>
      </w:r>
    </w:p>
    <w:p w:rsidR="00702700" w:rsidRPr="00702700" w:rsidRDefault="00702700" w:rsidP="00702700">
      <w:pPr>
        <w:pStyle w:val="Heading1"/>
        <w:numPr>
          <w:ilvl w:val="2"/>
          <w:numId w:val="1"/>
        </w:numPr>
        <w:ind w:left="2520"/>
        <w:rPr>
          <w:b w:val="0"/>
        </w:rPr>
      </w:pPr>
      <w:r w:rsidRPr="00702700">
        <w:rPr>
          <w:b w:val="0"/>
        </w:rPr>
        <w:t>Strong action is needed to address challenges and opportunities leading to 2025.</w:t>
      </w:r>
    </w:p>
    <w:p w:rsidR="00540303" w:rsidRPr="00702700" w:rsidRDefault="00540303" w:rsidP="00540303">
      <w:pPr>
        <w:pStyle w:val="Heading1"/>
        <w:numPr>
          <w:ilvl w:val="1"/>
          <w:numId w:val="1"/>
        </w:numPr>
      </w:pPr>
      <w:r>
        <w:rPr>
          <w:b w:val="0"/>
        </w:rPr>
        <w:t>Actions if we decide to go for a directive over a resolution:</w:t>
      </w:r>
      <w:r w:rsidR="00702700">
        <w:rPr>
          <w:b w:val="0"/>
        </w:rPr>
        <w:t xml:space="preserve"> </w:t>
      </w:r>
    </w:p>
    <w:p w:rsidR="00702700" w:rsidRPr="00702700" w:rsidRDefault="00702700" w:rsidP="00702700">
      <w:pPr>
        <w:pStyle w:val="Heading1"/>
        <w:numPr>
          <w:ilvl w:val="2"/>
          <w:numId w:val="1"/>
        </w:numPr>
        <w:ind w:left="2520"/>
        <w:rPr>
          <w:b w:val="0"/>
        </w:rPr>
      </w:pPr>
      <w:r w:rsidRPr="00702700">
        <w:rPr>
          <w:b w:val="0"/>
        </w:rPr>
        <w:t>Signatories direct appropriate agency leads to:</w:t>
      </w:r>
    </w:p>
    <w:p w:rsidR="00702700" w:rsidRPr="00702700" w:rsidRDefault="00702700" w:rsidP="00702700">
      <w:pPr>
        <w:pStyle w:val="Heading1"/>
        <w:numPr>
          <w:ilvl w:val="3"/>
          <w:numId w:val="10"/>
        </w:numPr>
        <w:ind w:left="3240"/>
        <w:rPr>
          <w:b w:val="0"/>
        </w:rPr>
      </w:pPr>
      <w:r w:rsidRPr="00702700">
        <w:rPr>
          <w:b w:val="0"/>
        </w:rPr>
        <w:t>Identify opportunities within their jurisdictions to enhance agricultural and stormwater technical support (CBC report can be cited as starting point for agricultural technical support ideas) by X date.</w:t>
      </w:r>
    </w:p>
    <w:p w:rsidR="00702700" w:rsidRPr="00702700" w:rsidRDefault="00702700" w:rsidP="00702700">
      <w:pPr>
        <w:pStyle w:val="Heading1"/>
        <w:numPr>
          <w:ilvl w:val="3"/>
          <w:numId w:val="10"/>
        </w:numPr>
        <w:ind w:left="3240"/>
        <w:rPr>
          <w:b w:val="0"/>
        </w:rPr>
      </w:pPr>
      <w:r w:rsidRPr="00702700">
        <w:rPr>
          <w:b w:val="0"/>
        </w:rPr>
        <w:t>After X date, come together as a group, compare findings, and identify areas where they can work collaboratively to enhance agricultural and stormwater technical assistance.</w:t>
      </w:r>
    </w:p>
    <w:p w:rsidR="00702700" w:rsidRPr="00702700" w:rsidRDefault="00702700" w:rsidP="00702700">
      <w:pPr>
        <w:pStyle w:val="Heading1"/>
        <w:numPr>
          <w:ilvl w:val="3"/>
          <w:numId w:val="10"/>
        </w:numPr>
        <w:ind w:left="3240"/>
        <w:rPr>
          <w:b w:val="0"/>
        </w:rPr>
      </w:pPr>
      <w:r w:rsidRPr="00702700">
        <w:rPr>
          <w:b w:val="0"/>
        </w:rPr>
        <w:t>Report back as a group by Y date and recommend a) partnership-wide actions and b) jurisdictional-specific actions.</w:t>
      </w:r>
    </w:p>
    <w:p w:rsidR="00702700" w:rsidRPr="00702700" w:rsidRDefault="00702700" w:rsidP="00702700">
      <w:pPr>
        <w:pStyle w:val="Heading1"/>
        <w:numPr>
          <w:ilvl w:val="2"/>
          <w:numId w:val="1"/>
        </w:numPr>
        <w:ind w:left="2520"/>
        <w:rPr>
          <w:b w:val="0"/>
        </w:rPr>
      </w:pPr>
      <w:r w:rsidRPr="00702700">
        <w:rPr>
          <w:b w:val="0"/>
        </w:rPr>
        <w:t>Commit (except for EPA) to work collaboratively with their congressional delegations to realize increased funding for non-point source BMP implementation via the Farm Bill and/or other appropriate federal legislation.</w:t>
      </w:r>
    </w:p>
    <w:p w:rsidR="00702700" w:rsidRPr="00702700" w:rsidRDefault="00702700" w:rsidP="00702700">
      <w:pPr>
        <w:pStyle w:val="Heading1"/>
        <w:numPr>
          <w:ilvl w:val="2"/>
          <w:numId w:val="1"/>
        </w:numPr>
        <w:ind w:left="2520"/>
        <w:rPr>
          <w:b w:val="0"/>
        </w:rPr>
      </w:pPr>
      <w:r w:rsidRPr="00702700">
        <w:rPr>
          <w:b w:val="0"/>
        </w:rPr>
        <w:t>Recommit to meeting restoration goals by 2025.</w:t>
      </w:r>
    </w:p>
    <w:p w:rsidR="00702700" w:rsidRDefault="00702700" w:rsidP="00702700">
      <w:pPr>
        <w:pStyle w:val="Heading1"/>
        <w:numPr>
          <w:ilvl w:val="2"/>
          <w:numId w:val="1"/>
        </w:numPr>
        <w:ind w:left="2520"/>
        <w:rPr>
          <w:b w:val="0"/>
        </w:rPr>
      </w:pPr>
      <w:r w:rsidRPr="00702700">
        <w:rPr>
          <w:b w:val="0"/>
        </w:rPr>
        <w:t>Call upon other stakeholders to ensure they are fully engaged in meeting their restoration goals by 2025.</w:t>
      </w:r>
    </w:p>
    <w:p w:rsidR="00702700" w:rsidRDefault="00702700" w:rsidP="00702700">
      <w:pPr>
        <w:pStyle w:val="Heading1"/>
        <w:numPr>
          <w:ilvl w:val="2"/>
          <w:numId w:val="1"/>
        </w:numPr>
        <w:ind w:left="2520"/>
        <w:rPr>
          <w:b w:val="0"/>
        </w:rPr>
      </w:pPr>
      <w:r>
        <w:rPr>
          <w:b w:val="0"/>
        </w:rPr>
        <w:t>Explore innovative financing options</w:t>
      </w:r>
    </w:p>
    <w:p w:rsidR="00702700" w:rsidRDefault="00702700" w:rsidP="00702700">
      <w:pPr>
        <w:pStyle w:val="Heading1"/>
        <w:numPr>
          <w:ilvl w:val="1"/>
          <w:numId w:val="1"/>
        </w:numPr>
        <w:rPr>
          <w:b w:val="0"/>
        </w:rPr>
      </w:pPr>
      <w:r>
        <w:rPr>
          <w:b w:val="0"/>
        </w:rPr>
        <w:t>Comments on this draft:</w:t>
      </w:r>
    </w:p>
    <w:p w:rsidR="00702700" w:rsidRDefault="00702700" w:rsidP="00702700">
      <w:pPr>
        <w:pStyle w:val="Heading1"/>
        <w:numPr>
          <w:ilvl w:val="2"/>
          <w:numId w:val="11"/>
        </w:numPr>
        <w:ind w:left="2520"/>
        <w:rPr>
          <w:b w:val="0"/>
        </w:rPr>
      </w:pPr>
      <w:r>
        <w:rPr>
          <w:b w:val="0"/>
        </w:rPr>
        <w:t xml:space="preserve">We need to be careful of calling stormwater a nonpoint source, as in the regulatory world it’s often considered a point source. Other options: </w:t>
      </w:r>
      <w:r w:rsidR="00917904">
        <w:rPr>
          <w:b w:val="0"/>
        </w:rPr>
        <w:t>Pollution from Runoff, r</w:t>
      </w:r>
      <w:r>
        <w:rPr>
          <w:b w:val="0"/>
        </w:rPr>
        <w:t>unoff from urban and agricultural lands; runoff from developed and agricultural lands; runoff from farmlands and developed lands; urban, suburban and farmland runoff</w:t>
      </w:r>
    </w:p>
    <w:p w:rsidR="00702700" w:rsidRDefault="00702700" w:rsidP="00702700">
      <w:pPr>
        <w:pStyle w:val="Heading1"/>
        <w:numPr>
          <w:ilvl w:val="2"/>
          <w:numId w:val="11"/>
        </w:numPr>
        <w:ind w:left="2520"/>
        <w:rPr>
          <w:b w:val="0"/>
        </w:rPr>
      </w:pPr>
      <w:r>
        <w:rPr>
          <w:b w:val="0"/>
        </w:rPr>
        <w:t>EPA would not be able to say anything on action 2 (lobbying) and is sometimes not able to sign anything where others are committing to lobbying. Maybe take this point out, as it’s important that EPA be able to sign. Action #5 on innovative financing works because it’s more vague</w:t>
      </w:r>
    </w:p>
    <w:p w:rsidR="00702700" w:rsidRDefault="00702700" w:rsidP="00702700">
      <w:pPr>
        <w:pStyle w:val="Heading1"/>
        <w:numPr>
          <w:ilvl w:val="2"/>
          <w:numId w:val="11"/>
        </w:numPr>
        <w:ind w:left="2520"/>
        <w:rPr>
          <w:b w:val="0"/>
        </w:rPr>
      </w:pPr>
      <w:r>
        <w:rPr>
          <w:b w:val="0"/>
        </w:rPr>
        <w:t>Suggestion that this directive be tied to WIP development so that they work together, rather than this being more work when WIP development is the priority. 1a</w:t>
      </w:r>
      <w:r w:rsidR="00E83AC1">
        <w:rPr>
          <w:b w:val="0"/>
        </w:rPr>
        <w:t xml:space="preserve"> and 1c</w:t>
      </w:r>
      <w:r>
        <w:rPr>
          <w:b w:val="0"/>
        </w:rPr>
        <w:t xml:space="preserve"> can be tied to WIP development</w:t>
      </w:r>
      <w:r w:rsidR="00E83AC1">
        <w:rPr>
          <w:b w:val="0"/>
        </w:rPr>
        <w:t>, 1b could be a standalone that can speak more to once WIP III drafts are in.</w:t>
      </w:r>
    </w:p>
    <w:p w:rsidR="00E83AC1" w:rsidRDefault="00E83AC1" w:rsidP="00702700">
      <w:pPr>
        <w:pStyle w:val="Heading1"/>
        <w:numPr>
          <w:ilvl w:val="2"/>
          <w:numId w:val="11"/>
        </w:numPr>
        <w:ind w:left="2520"/>
        <w:rPr>
          <w:b w:val="0"/>
        </w:rPr>
      </w:pPr>
      <w:r>
        <w:rPr>
          <w:b w:val="0"/>
        </w:rPr>
        <w:t>In 1c: the jurisdiction part can tie directly to WIPs, partnership wide goes above and beyond but is important and should be informed by the WIPs. First step is what goes into the WIPs, second step is finding key partnership-wide needs from that to achieve our goals</w:t>
      </w:r>
    </w:p>
    <w:p w:rsidR="00E83AC1" w:rsidRDefault="00E83AC1" w:rsidP="00702700">
      <w:pPr>
        <w:pStyle w:val="Heading1"/>
        <w:numPr>
          <w:ilvl w:val="2"/>
          <w:numId w:val="11"/>
        </w:numPr>
        <w:ind w:left="2520"/>
        <w:rPr>
          <w:b w:val="0"/>
        </w:rPr>
      </w:pPr>
      <w:r>
        <w:rPr>
          <w:b w:val="0"/>
        </w:rPr>
        <w:t>Some wariness around using the 2025 date- WIP planning may end up altering that date. Could focus on a commitment to engagement of all partners rather than commitment to a certain date.</w:t>
      </w:r>
    </w:p>
    <w:p w:rsidR="00E83AC1" w:rsidRDefault="00E83AC1" w:rsidP="00702700">
      <w:pPr>
        <w:pStyle w:val="Heading1"/>
        <w:numPr>
          <w:ilvl w:val="2"/>
          <w:numId w:val="11"/>
        </w:numPr>
        <w:ind w:left="2520"/>
        <w:rPr>
          <w:b w:val="0"/>
        </w:rPr>
      </w:pPr>
      <w:r>
        <w:rPr>
          <w:b w:val="0"/>
        </w:rPr>
        <w:t>Action 2 could focus more on building in enhanced consistency between farm bill efforts and WIP needs rather than funding. This would help make sure the work of USDA is aligned with what comes out of WIP III efforts. USDA secretary has been invited to EC in the past, so this wouldn’t be unprecedented</w:t>
      </w:r>
    </w:p>
    <w:p w:rsidR="00E83AC1" w:rsidRDefault="00E83AC1" w:rsidP="00702700">
      <w:pPr>
        <w:pStyle w:val="Heading1"/>
        <w:numPr>
          <w:ilvl w:val="2"/>
          <w:numId w:val="11"/>
        </w:numPr>
        <w:ind w:left="2520"/>
        <w:rPr>
          <w:b w:val="0"/>
        </w:rPr>
      </w:pPr>
      <w:r>
        <w:rPr>
          <w:b w:val="0"/>
        </w:rPr>
        <w:t>Add in a whereas statement making it clear that the EC is supportive of working lands and farming communities. We want to be supporting, not placing blame on farmers</w:t>
      </w:r>
    </w:p>
    <w:p w:rsidR="00E83AC1" w:rsidRDefault="00E83AC1" w:rsidP="00702700">
      <w:pPr>
        <w:pStyle w:val="Heading1"/>
        <w:numPr>
          <w:ilvl w:val="2"/>
          <w:numId w:val="11"/>
        </w:numPr>
        <w:ind w:left="2520"/>
        <w:rPr>
          <w:b w:val="0"/>
        </w:rPr>
      </w:pPr>
      <w:r>
        <w:rPr>
          <w:b w:val="0"/>
        </w:rPr>
        <w:lastRenderedPageBreak/>
        <w:t>General agreement on removing action 3- Jurisdictions have already committed and this doesn’t fit within the rest of the actions. Could instead have a whereas statement referencing prior commitments</w:t>
      </w:r>
    </w:p>
    <w:p w:rsidR="00917904" w:rsidRDefault="00917904" w:rsidP="00702700">
      <w:pPr>
        <w:pStyle w:val="Heading1"/>
        <w:numPr>
          <w:ilvl w:val="2"/>
          <w:numId w:val="11"/>
        </w:numPr>
        <w:ind w:left="2520"/>
        <w:rPr>
          <w:b w:val="0"/>
        </w:rPr>
      </w:pPr>
      <w:r>
        <w:rPr>
          <w:b w:val="0"/>
        </w:rPr>
        <w:t>Whereas statements could include data; workforce development/an economically sustainable watershed (from watershed agreement) showing why people should care; highlight that the work left will be more difficult than what we’ve done so far, but we also have more tools and resources available</w:t>
      </w:r>
    </w:p>
    <w:p w:rsidR="00630C03" w:rsidRDefault="00917904" w:rsidP="00702700">
      <w:pPr>
        <w:pStyle w:val="Heading1"/>
        <w:numPr>
          <w:ilvl w:val="2"/>
          <w:numId w:val="11"/>
        </w:numPr>
        <w:ind w:left="2520"/>
        <w:rPr>
          <w:b w:val="0"/>
        </w:rPr>
      </w:pPr>
      <w:r>
        <w:rPr>
          <w:b w:val="0"/>
        </w:rPr>
        <w:t>Wrap the theme of partnership into the action items, recognize that we need to work together on innovative solutions</w:t>
      </w:r>
    </w:p>
    <w:p w:rsidR="00630C03" w:rsidRDefault="00630C03" w:rsidP="00702700">
      <w:pPr>
        <w:pStyle w:val="Heading1"/>
        <w:numPr>
          <w:ilvl w:val="2"/>
          <w:numId w:val="11"/>
        </w:numPr>
        <w:ind w:left="2520"/>
        <w:rPr>
          <w:b w:val="0"/>
        </w:rPr>
      </w:pPr>
      <w:r>
        <w:rPr>
          <w:b w:val="0"/>
        </w:rPr>
        <w:t>Forestry Workgroup also has a need for technical assistance (e.g. forest buffers).</w:t>
      </w:r>
    </w:p>
    <w:p w:rsidR="00E83AC1" w:rsidRPr="00702700" w:rsidRDefault="00E83AC1" w:rsidP="00E83AC1">
      <w:pPr>
        <w:pStyle w:val="Heading1"/>
        <w:numPr>
          <w:ilvl w:val="0"/>
          <w:numId w:val="0"/>
        </w:numPr>
        <w:rPr>
          <w:b w:val="0"/>
        </w:rPr>
      </w:pPr>
    </w:p>
    <w:p w:rsidR="00540303" w:rsidRPr="00AC41A5" w:rsidRDefault="00540303" w:rsidP="00540303">
      <w:pPr>
        <w:pStyle w:val="Heading1"/>
        <w:numPr>
          <w:ilvl w:val="0"/>
          <w:numId w:val="0"/>
        </w:numPr>
        <w:ind w:left="1800"/>
      </w:pPr>
    </w:p>
    <w:p w:rsidR="00A106DB" w:rsidRDefault="00BF2CD3" w:rsidP="002F244A">
      <w:pPr>
        <w:pStyle w:val="Heading1"/>
        <w:numPr>
          <w:ilvl w:val="0"/>
          <w:numId w:val="1"/>
        </w:numPr>
        <w:spacing w:after="240"/>
      </w:pPr>
      <w:r>
        <w:t>Themes</w:t>
      </w:r>
    </w:p>
    <w:p w:rsidR="00ED5C11" w:rsidRPr="00E83AC1" w:rsidRDefault="00E83AC1" w:rsidP="00ED5C11">
      <w:pPr>
        <w:pStyle w:val="Heading1"/>
        <w:numPr>
          <w:ilvl w:val="1"/>
          <w:numId w:val="1"/>
        </w:numPr>
      </w:pPr>
      <w:r>
        <w:rPr>
          <w:b w:val="0"/>
        </w:rPr>
        <w:t>Previous</w:t>
      </w:r>
      <w:r w:rsidR="00ED5C11">
        <w:rPr>
          <w:b w:val="0"/>
        </w:rPr>
        <w:t xml:space="preserve"> </w:t>
      </w:r>
      <w:r w:rsidR="00DC23B5">
        <w:rPr>
          <w:b w:val="0"/>
        </w:rPr>
        <w:t>ideas</w:t>
      </w:r>
      <w:r w:rsidR="00ED5C11">
        <w:rPr>
          <w:b w:val="0"/>
        </w:rPr>
        <w:t>: celebrating our successes and finishing the job; resilience- ecosystem, social</w:t>
      </w:r>
      <w:r w:rsidR="00851475">
        <w:rPr>
          <w:b w:val="0"/>
        </w:rPr>
        <w:t>, and climate</w:t>
      </w:r>
      <w:r>
        <w:rPr>
          <w:b w:val="0"/>
        </w:rPr>
        <w:t>; successes, challenges/opportunities, and moving forward</w:t>
      </w:r>
    </w:p>
    <w:p w:rsidR="00E83AC1" w:rsidRPr="00E725BB" w:rsidRDefault="00E725BB" w:rsidP="00ED5C11">
      <w:pPr>
        <w:pStyle w:val="Heading1"/>
        <w:numPr>
          <w:ilvl w:val="1"/>
          <w:numId w:val="1"/>
        </w:numPr>
      </w:pPr>
      <w:r>
        <w:rPr>
          <w:b w:val="0"/>
        </w:rPr>
        <w:t xml:space="preserve">The third theme would work well for weaving a broader sense of unity through the above directive and the environmental literacy directive. Runoff directive and technical assistance fit into the challenges/opportunities, environmental literacy is part of moving forward. </w:t>
      </w:r>
    </w:p>
    <w:p w:rsidR="00E725BB" w:rsidRPr="00917904" w:rsidRDefault="00E725BB" w:rsidP="00ED5C11">
      <w:pPr>
        <w:pStyle w:val="Heading1"/>
        <w:numPr>
          <w:ilvl w:val="1"/>
          <w:numId w:val="1"/>
        </w:numPr>
      </w:pPr>
      <w:r>
        <w:rPr>
          <w:b w:val="0"/>
        </w:rPr>
        <w:t>Successes: oyster restoration, SAV, wastewater</w:t>
      </w:r>
    </w:p>
    <w:p w:rsidR="00917904" w:rsidRPr="003C0566" w:rsidRDefault="00917904" w:rsidP="00ED5C11">
      <w:pPr>
        <w:pStyle w:val="Heading1"/>
        <w:numPr>
          <w:ilvl w:val="1"/>
          <w:numId w:val="1"/>
        </w:numPr>
      </w:pPr>
      <w:r>
        <w:rPr>
          <w:b w:val="0"/>
        </w:rPr>
        <w:t>Success with wastewater would be good for this year as the Blue Plains project is coming online. Could be a whereas statement for the runoff directive- we’ve made this progress, this is how the system responded, now we’ll focus our attention on runoff. This could help build confidence that we can make a difference</w:t>
      </w:r>
    </w:p>
    <w:p w:rsidR="003C0566" w:rsidRPr="00ED5C11" w:rsidRDefault="003C0566" w:rsidP="003C0566">
      <w:pPr>
        <w:pStyle w:val="Heading1"/>
        <w:numPr>
          <w:ilvl w:val="0"/>
          <w:numId w:val="0"/>
        </w:numPr>
        <w:ind w:left="1800"/>
      </w:pPr>
    </w:p>
    <w:p w:rsidR="00A106DB" w:rsidRDefault="00BF2CD3" w:rsidP="002F244A">
      <w:pPr>
        <w:pStyle w:val="Heading1"/>
        <w:numPr>
          <w:ilvl w:val="0"/>
          <w:numId w:val="1"/>
        </w:numPr>
        <w:spacing w:after="240"/>
      </w:pPr>
      <w:r>
        <w:t>Topics</w:t>
      </w:r>
    </w:p>
    <w:p w:rsidR="00684FBD" w:rsidRDefault="003C0566" w:rsidP="00684FBD">
      <w:pPr>
        <w:pStyle w:val="Heading1"/>
        <w:numPr>
          <w:ilvl w:val="1"/>
          <w:numId w:val="1"/>
        </w:numPr>
        <w:rPr>
          <w:b w:val="0"/>
        </w:rPr>
      </w:pPr>
      <w:r w:rsidRPr="00851475">
        <w:rPr>
          <w:b w:val="0"/>
        </w:rPr>
        <w:t>Specifics from the midpoint assessment</w:t>
      </w:r>
    </w:p>
    <w:p w:rsidR="00DC23B5" w:rsidRDefault="00B0725A" w:rsidP="00851475">
      <w:pPr>
        <w:pStyle w:val="Heading1"/>
        <w:numPr>
          <w:ilvl w:val="1"/>
          <w:numId w:val="1"/>
        </w:numPr>
        <w:rPr>
          <w:b w:val="0"/>
        </w:rPr>
      </w:pPr>
      <w:r w:rsidRPr="00684FBD">
        <w:rPr>
          <w:b w:val="0"/>
        </w:rPr>
        <w:t xml:space="preserve">The next phase of WIPs are </w:t>
      </w:r>
      <w:r w:rsidR="00684FBD" w:rsidRPr="00684FBD">
        <w:rPr>
          <w:b w:val="0"/>
        </w:rPr>
        <w:t>the first to be non-point source driven.</w:t>
      </w:r>
    </w:p>
    <w:p w:rsidR="00AD73C1" w:rsidRPr="00851475" w:rsidRDefault="00851475" w:rsidP="00851475">
      <w:pPr>
        <w:pStyle w:val="Heading1"/>
        <w:numPr>
          <w:ilvl w:val="1"/>
          <w:numId w:val="1"/>
        </w:numPr>
        <w:rPr>
          <w:b w:val="0"/>
        </w:rPr>
      </w:pPr>
      <w:r>
        <w:rPr>
          <w:b w:val="0"/>
        </w:rPr>
        <w:t>Stewardship</w:t>
      </w:r>
    </w:p>
    <w:p w:rsidR="00AD73C1" w:rsidRPr="00851475" w:rsidRDefault="003C0566" w:rsidP="00851475">
      <w:pPr>
        <w:pStyle w:val="Heading1"/>
        <w:numPr>
          <w:ilvl w:val="1"/>
          <w:numId w:val="1"/>
        </w:numPr>
        <w:rPr>
          <w:b w:val="0"/>
        </w:rPr>
      </w:pPr>
      <w:r w:rsidRPr="00851475">
        <w:rPr>
          <w:b w:val="0"/>
        </w:rPr>
        <w:t>Short highlights of various successes from local governments th</w:t>
      </w:r>
      <w:r w:rsidR="00851475">
        <w:rPr>
          <w:b w:val="0"/>
        </w:rPr>
        <w:t>at pertain to themes of meeting</w:t>
      </w:r>
    </w:p>
    <w:p w:rsidR="00AD73C1" w:rsidRDefault="003C0566" w:rsidP="00851475">
      <w:pPr>
        <w:pStyle w:val="Heading1"/>
        <w:numPr>
          <w:ilvl w:val="1"/>
          <w:numId w:val="1"/>
        </w:numPr>
        <w:rPr>
          <w:b w:val="0"/>
        </w:rPr>
      </w:pPr>
      <w:r w:rsidRPr="00851475">
        <w:rPr>
          <w:b w:val="0"/>
        </w:rPr>
        <w:t>Local co-benefits – rural, urban and suburban examples.</w:t>
      </w:r>
    </w:p>
    <w:p w:rsidR="00AD73C1" w:rsidRPr="00851475" w:rsidRDefault="003C0566" w:rsidP="00851475">
      <w:pPr>
        <w:pStyle w:val="Heading1"/>
        <w:numPr>
          <w:ilvl w:val="1"/>
          <w:numId w:val="1"/>
        </w:numPr>
        <w:rPr>
          <w:b w:val="0"/>
        </w:rPr>
      </w:pPr>
      <w:r w:rsidRPr="00851475">
        <w:rPr>
          <w:b w:val="0"/>
        </w:rPr>
        <w:t>Five challenges to focus on moving forward.</w:t>
      </w:r>
    </w:p>
    <w:p w:rsidR="00AD73C1" w:rsidRPr="00851475" w:rsidRDefault="003C0566" w:rsidP="003C0566">
      <w:pPr>
        <w:pStyle w:val="Heading1"/>
        <w:ind w:left="2160"/>
        <w:rPr>
          <w:b w:val="0"/>
        </w:rPr>
      </w:pPr>
      <w:r w:rsidRPr="00851475">
        <w:rPr>
          <w:b w:val="0"/>
        </w:rPr>
        <w:t>Helping our farmers.</w:t>
      </w:r>
    </w:p>
    <w:p w:rsidR="00AD73C1" w:rsidRPr="00851475" w:rsidRDefault="003C0566" w:rsidP="003C0566">
      <w:pPr>
        <w:pStyle w:val="Heading1"/>
        <w:ind w:left="2160"/>
        <w:rPr>
          <w:b w:val="0"/>
        </w:rPr>
      </w:pPr>
      <w:r w:rsidRPr="00851475">
        <w:rPr>
          <w:b w:val="0"/>
        </w:rPr>
        <w:t>Addressing Conowingo Dam.</w:t>
      </w:r>
    </w:p>
    <w:p w:rsidR="00AD73C1" w:rsidRPr="00851475" w:rsidRDefault="003C0566" w:rsidP="003C0566">
      <w:pPr>
        <w:pStyle w:val="Heading1"/>
        <w:ind w:left="2160"/>
        <w:rPr>
          <w:b w:val="0"/>
        </w:rPr>
      </w:pPr>
      <w:r w:rsidRPr="00851475">
        <w:rPr>
          <w:b w:val="0"/>
        </w:rPr>
        <w:t>Addressing climate resiliency/sea level rise</w:t>
      </w:r>
    </w:p>
    <w:p w:rsidR="00AD73C1" w:rsidRPr="00851475" w:rsidRDefault="003C0566" w:rsidP="003C0566">
      <w:pPr>
        <w:pStyle w:val="Heading1"/>
        <w:ind w:left="2160"/>
        <w:rPr>
          <w:b w:val="0"/>
        </w:rPr>
      </w:pPr>
      <w:r w:rsidRPr="00851475">
        <w:rPr>
          <w:b w:val="0"/>
        </w:rPr>
        <w:t>Accounting for growth</w:t>
      </w:r>
    </w:p>
    <w:p w:rsidR="00851475" w:rsidRPr="00851475" w:rsidRDefault="003C0566" w:rsidP="003C0566">
      <w:pPr>
        <w:pStyle w:val="Heading1"/>
        <w:ind w:left="2160"/>
      </w:pPr>
      <w:r w:rsidRPr="00851475">
        <w:rPr>
          <w:b w:val="0"/>
        </w:rPr>
        <w:t>Embracing science, innovation and partnerships.</w:t>
      </w:r>
    </w:p>
    <w:p w:rsidR="00851475" w:rsidRPr="003C0566" w:rsidRDefault="00851475" w:rsidP="00851475">
      <w:pPr>
        <w:pStyle w:val="Heading1"/>
        <w:numPr>
          <w:ilvl w:val="0"/>
          <w:numId w:val="6"/>
        </w:numPr>
        <w:ind w:left="1800"/>
      </w:pPr>
      <w:r>
        <w:rPr>
          <w:b w:val="0"/>
        </w:rPr>
        <w:t>Highlighting oyster restoration- successes and issues</w:t>
      </w:r>
    </w:p>
    <w:p w:rsidR="003C0566" w:rsidRPr="00DC23B5" w:rsidRDefault="003C0566" w:rsidP="00851475">
      <w:pPr>
        <w:pStyle w:val="Heading1"/>
        <w:numPr>
          <w:ilvl w:val="0"/>
          <w:numId w:val="6"/>
        </w:numPr>
        <w:ind w:left="1800"/>
      </w:pPr>
      <w:r>
        <w:rPr>
          <w:b w:val="0"/>
        </w:rPr>
        <w:t>Agriculture Literacy Task Force/Workgroup</w:t>
      </w:r>
    </w:p>
    <w:p w:rsidR="00DC23B5" w:rsidRPr="00DC23B5" w:rsidRDefault="00DC23B5" w:rsidP="00851475">
      <w:pPr>
        <w:pStyle w:val="Heading1"/>
        <w:numPr>
          <w:ilvl w:val="0"/>
          <w:numId w:val="6"/>
        </w:numPr>
        <w:ind w:left="1800"/>
      </w:pPr>
      <w:r>
        <w:rPr>
          <w:b w:val="0"/>
        </w:rPr>
        <w:t>Anything that we want to definitely include or remove from the list?</w:t>
      </w:r>
    </w:p>
    <w:p w:rsidR="00DC23B5" w:rsidRPr="00173F62" w:rsidRDefault="00DC23B5" w:rsidP="00DC23B5">
      <w:pPr>
        <w:pStyle w:val="Heading1"/>
        <w:numPr>
          <w:ilvl w:val="1"/>
          <w:numId w:val="6"/>
        </w:numPr>
        <w:ind w:left="2520"/>
      </w:pPr>
      <w:r>
        <w:rPr>
          <w:b w:val="0"/>
        </w:rPr>
        <w:t>Ag literacy task force- focused on public understanding/appreciation of the role of agriculture, doesn’t really fit into technical assistance directive. MD will follow up with MDA on this.</w:t>
      </w:r>
    </w:p>
    <w:p w:rsidR="00630C03" w:rsidRPr="00DC23B5" w:rsidRDefault="00630C03" w:rsidP="00DC23B5">
      <w:pPr>
        <w:pStyle w:val="Heading1"/>
        <w:numPr>
          <w:ilvl w:val="1"/>
          <w:numId w:val="6"/>
        </w:numPr>
        <w:ind w:left="2520"/>
      </w:pPr>
      <w:r>
        <w:rPr>
          <w:b w:val="0"/>
        </w:rPr>
        <w:t>Can Ag in the Classroom be folded in to the environmental literacy directive?</w:t>
      </w:r>
    </w:p>
    <w:p w:rsidR="00DC23B5" w:rsidRPr="00DC23B5" w:rsidRDefault="00DC23B5" w:rsidP="00DC23B5">
      <w:pPr>
        <w:pStyle w:val="Heading1"/>
        <w:numPr>
          <w:ilvl w:val="1"/>
          <w:numId w:val="6"/>
        </w:numPr>
        <w:ind w:left="2520"/>
      </w:pPr>
      <w:r>
        <w:rPr>
          <w:b w:val="0"/>
        </w:rPr>
        <w:t>Five challenges seem like they could be whereas statements for something</w:t>
      </w:r>
    </w:p>
    <w:p w:rsidR="00DC23B5" w:rsidRPr="00DC23B5" w:rsidRDefault="00DC23B5" w:rsidP="00DC23B5">
      <w:pPr>
        <w:pStyle w:val="Heading1"/>
        <w:numPr>
          <w:ilvl w:val="1"/>
          <w:numId w:val="6"/>
        </w:numPr>
        <w:ind w:left="2520"/>
      </w:pPr>
      <w:r>
        <w:rPr>
          <w:b w:val="0"/>
        </w:rPr>
        <w:t>Definitely include oyster restoration</w:t>
      </w:r>
    </w:p>
    <w:p w:rsidR="00DC23B5" w:rsidRPr="00DC23B5" w:rsidRDefault="00DC23B5" w:rsidP="00DC23B5">
      <w:pPr>
        <w:pStyle w:val="Heading1"/>
        <w:numPr>
          <w:ilvl w:val="1"/>
          <w:numId w:val="6"/>
        </w:numPr>
        <w:ind w:left="2520"/>
      </w:pPr>
      <w:r>
        <w:rPr>
          <w:b w:val="0"/>
        </w:rPr>
        <w:t>These don’t all have to be separate agenda items- they can be highlighted in the state of the program report, or governors’ talking points</w:t>
      </w:r>
    </w:p>
    <w:p w:rsidR="00DC23B5" w:rsidRPr="00DC23B5" w:rsidRDefault="00DC23B5" w:rsidP="00DC23B5">
      <w:pPr>
        <w:pStyle w:val="Heading1"/>
        <w:numPr>
          <w:ilvl w:val="1"/>
          <w:numId w:val="6"/>
        </w:numPr>
        <w:ind w:left="2520"/>
      </w:pPr>
      <w:proofErr w:type="spellStart"/>
      <w:r>
        <w:rPr>
          <w:b w:val="0"/>
        </w:rPr>
        <w:t>Md</w:t>
      </w:r>
      <w:proofErr w:type="spellEnd"/>
      <w:r>
        <w:rPr>
          <w:b w:val="0"/>
        </w:rPr>
        <w:t xml:space="preserve"> will be focused on Conowingo, could be an agenda item at the private lunch</w:t>
      </w:r>
    </w:p>
    <w:p w:rsidR="00DC23B5" w:rsidRPr="00851475" w:rsidRDefault="00DC23B5" w:rsidP="00DC23B5">
      <w:pPr>
        <w:pStyle w:val="Heading1"/>
        <w:numPr>
          <w:ilvl w:val="1"/>
          <w:numId w:val="6"/>
        </w:numPr>
        <w:ind w:left="2520"/>
      </w:pPr>
      <w:proofErr w:type="spellStart"/>
      <w:r>
        <w:rPr>
          <w:b w:val="0"/>
        </w:rPr>
        <w:t>Va</w:t>
      </w:r>
      <w:proofErr w:type="spellEnd"/>
      <w:r>
        <w:rPr>
          <w:b w:val="0"/>
        </w:rPr>
        <w:t xml:space="preserve"> is likely to focus on climate resiliency</w:t>
      </w:r>
    </w:p>
    <w:p w:rsidR="00851475" w:rsidRDefault="00851475" w:rsidP="00851475">
      <w:pPr>
        <w:pStyle w:val="Heading1"/>
        <w:numPr>
          <w:ilvl w:val="0"/>
          <w:numId w:val="0"/>
        </w:numPr>
        <w:ind w:left="1800"/>
      </w:pPr>
      <w:r>
        <w:lastRenderedPageBreak/>
        <w:t xml:space="preserve"> </w:t>
      </w:r>
    </w:p>
    <w:p w:rsidR="00BF2CD3" w:rsidRDefault="00BF2CD3" w:rsidP="002F244A">
      <w:pPr>
        <w:pStyle w:val="Heading1"/>
        <w:numPr>
          <w:ilvl w:val="0"/>
          <w:numId w:val="1"/>
        </w:numPr>
        <w:spacing w:after="240"/>
      </w:pPr>
      <w:r>
        <w:t>Messages</w:t>
      </w:r>
    </w:p>
    <w:p w:rsidR="001249EC" w:rsidRDefault="003C0566" w:rsidP="003C0566">
      <w:pPr>
        <w:pStyle w:val="Heading1"/>
        <w:numPr>
          <w:ilvl w:val="1"/>
          <w:numId w:val="1"/>
        </w:numPr>
        <w:rPr>
          <w:b w:val="0"/>
        </w:rPr>
      </w:pPr>
      <w:r>
        <w:rPr>
          <w:b w:val="0"/>
        </w:rPr>
        <w:t>Infrastructure</w:t>
      </w:r>
    </w:p>
    <w:p w:rsidR="003C0566" w:rsidRDefault="003C0566" w:rsidP="003C0566">
      <w:pPr>
        <w:pStyle w:val="Heading1"/>
        <w:numPr>
          <w:ilvl w:val="1"/>
          <w:numId w:val="1"/>
        </w:numPr>
        <w:rPr>
          <w:b w:val="0"/>
        </w:rPr>
      </w:pPr>
      <w:r>
        <w:rPr>
          <w:b w:val="0"/>
        </w:rPr>
        <w:t>Cooperative federalism</w:t>
      </w:r>
    </w:p>
    <w:p w:rsidR="003C0566" w:rsidRDefault="003C0566" w:rsidP="003C0566">
      <w:pPr>
        <w:pStyle w:val="Heading1"/>
        <w:numPr>
          <w:ilvl w:val="1"/>
          <w:numId w:val="1"/>
        </w:numPr>
        <w:rPr>
          <w:b w:val="0"/>
        </w:rPr>
      </w:pPr>
      <w:r>
        <w:rPr>
          <w:b w:val="0"/>
        </w:rPr>
        <w:t>Agriculture</w:t>
      </w:r>
    </w:p>
    <w:p w:rsidR="003C0566" w:rsidRDefault="003C0566" w:rsidP="003C0566">
      <w:pPr>
        <w:pStyle w:val="Heading1"/>
        <w:numPr>
          <w:ilvl w:val="1"/>
          <w:numId w:val="1"/>
        </w:numPr>
        <w:rPr>
          <w:b w:val="0"/>
        </w:rPr>
      </w:pPr>
      <w:r>
        <w:rPr>
          <w:b w:val="0"/>
        </w:rPr>
        <w:t>Co-benefits</w:t>
      </w:r>
    </w:p>
    <w:p w:rsidR="003C0566" w:rsidRDefault="003C0566" w:rsidP="003C0566">
      <w:pPr>
        <w:pStyle w:val="Heading1"/>
        <w:numPr>
          <w:ilvl w:val="1"/>
          <w:numId w:val="1"/>
        </w:numPr>
        <w:rPr>
          <w:b w:val="0"/>
        </w:rPr>
      </w:pPr>
      <w:r>
        <w:rPr>
          <w:b w:val="0"/>
        </w:rPr>
        <w:t>Messages can be threaded throughout- strengths of the Bay Program</w:t>
      </w:r>
    </w:p>
    <w:p w:rsidR="003C0566" w:rsidRPr="003C0566" w:rsidRDefault="003C0566" w:rsidP="003C0566">
      <w:pPr>
        <w:pStyle w:val="Heading1"/>
        <w:numPr>
          <w:ilvl w:val="0"/>
          <w:numId w:val="0"/>
        </w:numPr>
        <w:ind w:left="1800"/>
        <w:rPr>
          <w:b w:val="0"/>
        </w:rPr>
      </w:pPr>
    </w:p>
    <w:p w:rsidR="00DC23B5" w:rsidRDefault="00DC23B5" w:rsidP="00DC23B5">
      <w:pPr>
        <w:pStyle w:val="Heading1"/>
        <w:numPr>
          <w:ilvl w:val="0"/>
          <w:numId w:val="1"/>
        </w:numPr>
        <w:spacing w:after="240"/>
      </w:pPr>
      <w:r>
        <w:t xml:space="preserve">Logistics </w:t>
      </w:r>
    </w:p>
    <w:p w:rsidR="00DC23B5" w:rsidRPr="00DC23B5" w:rsidRDefault="00DC23B5" w:rsidP="00DC23B5">
      <w:pPr>
        <w:pStyle w:val="Heading1"/>
        <w:numPr>
          <w:ilvl w:val="1"/>
          <w:numId w:val="1"/>
        </w:numPr>
        <w:rPr>
          <w:b w:val="0"/>
        </w:rPr>
      </w:pPr>
      <w:r w:rsidRPr="00DC23B5">
        <w:rPr>
          <w:b w:val="0"/>
        </w:rPr>
        <w:t>Meetings have usually been 12-2. Has happened sometimes in the morning, but midday is usually better for travel purposes</w:t>
      </w:r>
    </w:p>
    <w:p w:rsidR="00DC23B5" w:rsidRPr="00DC23B5" w:rsidRDefault="00DC23B5" w:rsidP="00DC23B5">
      <w:pPr>
        <w:pStyle w:val="Heading1"/>
        <w:numPr>
          <w:ilvl w:val="1"/>
          <w:numId w:val="1"/>
        </w:numPr>
        <w:rPr>
          <w:b w:val="0"/>
        </w:rPr>
      </w:pPr>
      <w:r w:rsidRPr="00DC23B5">
        <w:rPr>
          <w:b w:val="0"/>
        </w:rPr>
        <w:t>Members arrive around 11:30, private lunch 12-1, public meeting 1-2. Press is part of the public meeting, usually allot ten minutes at the end for questions</w:t>
      </w:r>
    </w:p>
    <w:p w:rsidR="00DC23B5" w:rsidRPr="00DC23B5" w:rsidRDefault="00DC23B5" w:rsidP="00DC23B5">
      <w:pPr>
        <w:pStyle w:val="Heading1"/>
        <w:numPr>
          <w:ilvl w:val="1"/>
          <w:numId w:val="1"/>
        </w:numPr>
        <w:rPr>
          <w:b w:val="0"/>
        </w:rPr>
      </w:pPr>
      <w:r w:rsidRPr="00DC23B5">
        <w:rPr>
          <w:b w:val="0"/>
        </w:rPr>
        <w:t>These used to be three hour meetings, but members often try to shorten them. Maybe we should start with a plan for two and a half hours so there’s room for shortening if necessary</w:t>
      </w:r>
    </w:p>
    <w:p w:rsidR="00DC23B5" w:rsidRDefault="00DC23B5" w:rsidP="00DC23B5">
      <w:pPr>
        <w:pStyle w:val="Heading1"/>
        <w:numPr>
          <w:ilvl w:val="1"/>
          <w:numId w:val="1"/>
        </w:numPr>
        <w:rPr>
          <w:b w:val="0"/>
        </w:rPr>
      </w:pPr>
      <w:r w:rsidRPr="00DC23B5">
        <w:rPr>
          <w:b w:val="0"/>
        </w:rPr>
        <w:t>Rachel will share agendas from previous years so we can get a sense of timing and discuss where we felt pinched for time in previous years</w:t>
      </w:r>
      <w:bookmarkStart w:id="0" w:name="_GoBack"/>
    </w:p>
    <w:p w:rsidR="00630C03" w:rsidRPr="00DC23B5" w:rsidRDefault="00630C03" w:rsidP="00DC23B5">
      <w:pPr>
        <w:pStyle w:val="Heading1"/>
        <w:numPr>
          <w:ilvl w:val="1"/>
          <w:numId w:val="1"/>
        </w:numPr>
        <w:rPr>
          <w:b w:val="0"/>
        </w:rPr>
      </w:pPr>
      <w:r>
        <w:rPr>
          <w:b w:val="0"/>
        </w:rPr>
        <w:t xml:space="preserve">Everything related to the meeting should be vetted by each respective planning committee member to their EC member in case the next PSC meeting is held within only a few weeks of the EC meeting. </w:t>
      </w:r>
      <w:bookmarkEnd w:id="0"/>
    </w:p>
    <w:p w:rsidR="003C0566" w:rsidRPr="00851475" w:rsidRDefault="003C0566" w:rsidP="003C0566">
      <w:pPr>
        <w:pStyle w:val="Heading1"/>
        <w:numPr>
          <w:ilvl w:val="0"/>
          <w:numId w:val="0"/>
        </w:numPr>
        <w:ind w:left="2520"/>
        <w:rPr>
          <w:b w:val="0"/>
        </w:rPr>
      </w:pPr>
    </w:p>
    <w:p w:rsidR="00A106DB" w:rsidRPr="00017992" w:rsidRDefault="00017992" w:rsidP="00017992">
      <w:pPr>
        <w:pStyle w:val="Heading1"/>
        <w:numPr>
          <w:ilvl w:val="0"/>
          <w:numId w:val="1"/>
        </w:numPr>
        <w:spacing w:after="240"/>
      </w:pPr>
      <w:r>
        <w:t>Wrap</w:t>
      </w:r>
      <w:r>
        <w:rPr>
          <w:spacing w:val="-1"/>
        </w:rPr>
        <w:t xml:space="preserve"> </w:t>
      </w:r>
      <w:r>
        <w:t>Up</w:t>
      </w:r>
    </w:p>
    <w:p w:rsidR="00A106DB" w:rsidRDefault="00017992">
      <w:pPr>
        <w:ind w:left="1800"/>
      </w:pPr>
      <w:r>
        <w:rPr>
          <w:b/>
        </w:rPr>
        <w:t xml:space="preserve">Next meeting: </w:t>
      </w:r>
      <w:r w:rsidR="00696CD7">
        <w:t>May 9</w:t>
      </w:r>
      <w:r w:rsidR="00BF2CD3">
        <w:t xml:space="preserve"> Call, 3:00-4:00 pm</w:t>
      </w:r>
    </w:p>
    <w:p w:rsidR="00A106DB" w:rsidRDefault="00A106DB">
      <w:pPr>
        <w:pStyle w:val="BodyText"/>
        <w:rPr>
          <w:sz w:val="20"/>
        </w:rPr>
      </w:pPr>
    </w:p>
    <w:p w:rsidR="00A106DB" w:rsidRDefault="00A106DB">
      <w:pPr>
        <w:pStyle w:val="BodyText"/>
        <w:rPr>
          <w:sz w:val="20"/>
        </w:rPr>
      </w:pPr>
    </w:p>
    <w:p w:rsidR="00A106DB" w:rsidRDefault="00684FBD">
      <w:pPr>
        <w:pStyle w:val="BodyText"/>
        <w:rPr>
          <w:sz w:val="20"/>
        </w:rPr>
      </w:pPr>
      <w:r>
        <w:rPr>
          <w:sz w:val="20"/>
        </w:rPr>
        <w:t>ACTION ITEMS:</w:t>
      </w:r>
    </w:p>
    <w:p w:rsidR="00684FBD" w:rsidRDefault="00684FBD">
      <w:pPr>
        <w:pStyle w:val="BodyText"/>
        <w:rPr>
          <w:sz w:val="20"/>
        </w:rPr>
      </w:pPr>
    </w:p>
    <w:p w:rsidR="00684FBD" w:rsidRDefault="00696CD7" w:rsidP="000F1A34">
      <w:pPr>
        <w:pStyle w:val="BodyText"/>
        <w:numPr>
          <w:ilvl w:val="0"/>
          <w:numId w:val="7"/>
        </w:numPr>
        <w:rPr>
          <w:sz w:val="20"/>
        </w:rPr>
      </w:pPr>
      <w:r>
        <w:rPr>
          <w:sz w:val="20"/>
        </w:rPr>
        <w:t>Everyone who hasn’t yet will check member’s calendars for August 7 and 14</w:t>
      </w:r>
    </w:p>
    <w:p w:rsidR="00696CD7" w:rsidRDefault="00696CD7" w:rsidP="000F1A34">
      <w:pPr>
        <w:pStyle w:val="BodyText"/>
        <w:numPr>
          <w:ilvl w:val="0"/>
          <w:numId w:val="7"/>
        </w:numPr>
        <w:rPr>
          <w:sz w:val="20"/>
        </w:rPr>
      </w:pPr>
      <w:r>
        <w:rPr>
          <w:sz w:val="20"/>
        </w:rPr>
        <w:t>Rachel, Dave and Lee will create an updated draft of the pollution from runoff directive/resolution</w:t>
      </w:r>
    </w:p>
    <w:p w:rsidR="00696CD7" w:rsidRDefault="00696CD7" w:rsidP="000F1A34">
      <w:pPr>
        <w:pStyle w:val="BodyText"/>
        <w:numPr>
          <w:ilvl w:val="0"/>
          <w:numId w:val="7"/>
        </w:numPr>
        <w:rPr>
          <w:sz w:val="20"/>
        </w:rPr>
      </w:pPr>
      <w:r>
        <w:rPr>
          <w:sz w:val="20"/>
        </w:rPr>
        <w:t>Rachel will send out previous agendas as examples</w:t>
      </w:r>
    </w:p>
    <w:p w:rsidR="00A106DB" w:rsidRDefault="00A106DB">
      <w:pPr>
        <w:pStyle w:val="BodyText"/>
        <w:rPr>
          <w:sz w:val="20"/>
        </w:rPr>
      </w:pPr>
    </w:p>
    <w:p w:rsidR="00A106DB" w:rsidRDefault="00A106DB" w:rsidP="005A79C0">
      <w:pPr>
        <w:pStyle w:val="BodyText"/>
        <w:spacing w:before="56"/>
        <w:ind w:right="112"/>
      </w:pPr>
    </w:p>
    <w:sectPr w:rsidR="00A106DB" w:rsidSect="005A79C0">
      <w:type w:val="continuous"/>
      <w:pgSz w:w="12240" w:h="15840"/>
      <w:pgMar w:top="1008" w:right="1325" w:bottom="100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31925"/>
    <w:multiLevelType w:val="multilevel"/>
    <w:tmpl w:val="D02E08DA"/>
    <w:lvl w:ilvl="0">
      <w:start w:val="1"/>
      <w:numFmt w:val="upperRoman"/>
      <w:pStyle w:val="Heading1"/>
      <w:lvlText w:val="%1."/>
      <w:lvlJc w:val="left"/>
      <w:pPr>
        <w:ind w:left="216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394412C5"/>
    <w:multiLevelType w:val="hybridMultilevel"/>
    <w:tmpl w:val="AB5EC2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B0C6E50"/>
    <w:multiLevelType w:val="hybridMultilevel"/>
    <w:tmpl w:val="B950DCFE"/>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F">
      <w:start w:val="1"/>
      <w:numFmt w:val="decimal"/>
      <w:lvlText w:val="%3."/>
      <w:lvlJc w:val="left"/>
      <w:pPr>
        <w:ind w:left="3552" w:hanging="360"/>
      </w:pPr>
      <w:rPr>
        <w:rFonts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3" w15:restartNumberingAfterBreak="0">
    <w:nsid w:val="4F6C25AB"/>
    <w:multiLevelType w:val="hybridMultilevel"/>
    <w:tmpl w:val="B3066EB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552"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4" w15:restartNumberingAfterBreak="0">
    <w:nsid w:val="51EA47AA"/>
    <w:multiLevelType w:val="hybridMultilevel"/>
    <w:tmpl w:val="1388B80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5C60199A"/>
    <w:multiLevelType w:val="hybridMultilevel"/>
    <w:tmpl w:val="D6CAC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969B8"/>
    <w:multiLevelType w:val="hybridMultilevel"/>
    <w:tmpl w:val="F9C815D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F">
      <w:start w:val="1"/>
      <w:numFmt w:val="decimal"/>
      <w:lvlText w:val="%3."/>
      <w:lvlJc w:val="left"/>
      <w:pPr>
        <w:ind w:left="3552" w:hanging="360"/>
      </w:pPr>
      <w:rPr>
        <w:rFonts w:hint="default"/>
        <w:lang w:val="en-US" w:eastAsia="en-US" w:bidi="en-US"/>
      </w:rPr>
    </w:lvl>
    <w:lvl w:ilvl="3" w:tplc="04090017">
      <w:start w:val="1"/>
      <w:numFmt w:val="lowerLetter"/>
      <w:lvlText w:val="%4)"/>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7" w15:restartNumberingAfterBreak="0">
    <w:nsid w:val="6503799C"/>
    <w:multiLevelType w:val="hybridMultilevel"/>
    <w:tmpl w:val="6D689FAE"/>
    <w:lvl w:ilvl="0" w:tplc="42C04634">
      <w:start w:val="1"/>
      <w:numFmt w:val="bullet"/>
      <w:lvlText w:val="•"/>
      <w:lvlJc w:val="left"/>
      <w:pPr>
        <w:tabs>
          <w:tab w:val="num" w:pos="720"/>
        </w:tabs>
        <w:ind w:left="720" w:hanging="360"/>
      </w:pPr>
      <w:rPr>
        <w:rFonts w:ascii="Arial" w:hAnsi="Arial" w:hint="default"/>
      </w:rPr>
    </w:lvl>
    <w:lvl w:ilvl="1" w:tplc="CAA80D2A">
      <w:numFmt w:val="bullet"/>
      <w:lvlText w:val="•"/>
      <w:lvlJc w:val="left"/>
      <w:pPr>
        <w:tabs>
          <w:tab w:val="num" w:pos="1440"/>
        </w:tabs>
        <w:ind w:left="1440" w:hanging="360"/>
      </w:pPr>
      <w:rPr>
        <w:rFonts w:ascii="Arial" w:hAnsi="Arial" w:hint="default"/>
      </w:rPr>
    </w:lvl>
    <w:lvl w:ilvl="2" w:tplc="7500E66A" w:tentative="1">
      <w:start w:val="1"/>
      <w:numFmt w:val="bullet"/>
      <w:lvlText w:val="•"/>
      <w:lvlJc w:val="left"/>
      <w:pPr>
        <w:tabs>
          <w:tab w:val="num" w:pos="2160"/>
        </w:tabs>
        <w:ind w:left="2160" w:hanging="360"/>
      </w:pPr>
      <w:rPr>
        <w:rFonts w:ascii="Arial" w:hAnsi="Arial" w:hint="default"/>
      </w:rPr>
    </w:lvl>
    <w:lvl w:ilvl="3" w:tplc="34BC6FAC" w:tentative="1">
      <w:start w:val="1"/>
      <w:numFmt w:val="bullet"/>
      <w:lvlText w:val="•"/>
      <w:lvlJc w:val="left"/>
      <w:pPr>
        <w:tabs>
          <w:tab w:val="num" w:pos="2880"/>
        </w:tabs>
        <w:ind w:left="2880" w:hanging="360"/>
      </w:pPr>
      <w:rPr>
        <w:rFonts w:ascii="Arial" w:hAnsi="Arial" w:hint="default"/>
      </w:rPr>
    </w:lvl>
    <w:lvl w:ilvl="4" w:tplc="8950621A" w:tentative="1">
      <w:start w:val="1"/>
      <w:numFmt w:val="bullet"/>
      <w:lvlText w:val="•"/>
      <w:lvlJc w:val="left"/>
      <w:pPr>
        <w:tabs>
          <w:tab w:val="num" w:pos="3600"/>
        </w:tabs>
        <w:ind w:left="3600" w:hanging="360"/>
      </w:pPr>
      <w:rPr>
        <w:rFonts w:ascii="Arial" w:hAnsi="Arial" w:hint="default"/>
      </w:rPr>
    </w:lvl>
    <w:lvl w:ilvl="5" w:tplc="005E80A8" w:tentative="1">
      <w:start w:val="1"/>
      <w:numFmt w:val="bullet"/>
      <w:lvlText w:val="•"/>
      <w:lvlJc w:val="left"/>
      <w:pPr>
        <w:tabs>
          <w:tab w:val="num" w:pos="4320"/>
        </w:tabs>
        <w:ind w:left="4320" w:hanging="360"/>
      </w:pPr>
      <w:rPr>
        <w:rFonts w:ascii="Arial" w:hAnsi="Arial" w:hint="default"/>
      </w:rPr>
    </w:lvl>
    <w:lvl w:ilvl="6" w:tplc="5280855C" w:tentative="1">
      <w:start w:val="1"/>
      <w:numFmt w:val="bullet"/>
      <w:lvlText w:val="•"/>
      <w:lvlJc w:val="left"/>
      <w:pPr>
        <w:tabs>
          <w:tab w:val="num" w:pos="5040"/>
        </w:tabs>
        <w:ind w:left="5040" w:hanging="360"/>
      </w:pPr>
      <w:rPr>
        <w:rFonts w:ascii="Arial" w:hAnsi="Arial" w:hint="default"/>
      </w:rPr>
    </w:lvl>
    <w:lvl w:ilvl="7" w:tplc="B2A60B64" w:tentative="1">
      <w:start w:val="1"/>
      <w:numFmt w:val="bullet"/>
      <w:lvlText w:val="•"/>
      <w:lvlJc w:val="left"/>
      <w:pPr>
        <w:tabs>
          <w:tab w:val="num" w:pos="5760"/>
        </w:tabs>
        <w:ind w:left="5760" w:hanging="360"/>
      </w:pPr>
      <w:rPr>
        <w:rFonts w:ascii="Arial" w:hAnsi="Arial" w:hint="default"/>
      </w:rPr>
    </w:lvl>
    <w:lvl w:ilvl="8" w:tplc="6ECAA1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3B0194"/>
    <w:multiLevelType w:val="hybridMultilevel"/>
    <w:tmpl w:val="96E4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7"/>
  </w:num>
  <w:num w:numId="6">
    <w:abstractNumId w:val="8"/>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B"/>
    <w:rsid w:val="00017992"/>
    <w:rsid w:val="00027E21"/>
    <w:rsid w:val="000F1A34"/>
    <w:rsid w:val="001249EC"/>
    <w:rsid w:val="00173F62"/>
    <w:rsid w:val="00263CCB"/>
    <w:rsid w:val="002753EF"/>
    <w:rsid w:val="002813A2"/>
    <w:rsid w:val="002F244A"/>
    <w:rsid w:val="003C0566"/>
    <w:rsid w:val="004709E5"/>
    <w:rsid w:val="00540303"/>
    <w:rsid w:val="005A79C0"/>
    <w:rsid w:val="00630C03"/>
    <w:rsid w:val="00684FBD"/>
    <w:rsid w:val="00696CD7"/>
    <w:rsid w:val="00702700"/>
    <w:rsid w:val="00851475"/>
    <w:rsid w:val="008E5B87"/>
    <w:rsid w:val="00917904"/>
    <w:rsid w:val="00940637"/>
    <w:rsid w:val="00953553"/>
    <w:rsid w:val="00A106DB"/>
    <w:rsid w:val="00AC41A5"/>
    <w:rsid w:val="00AD73C1"/>
    <w:rsid w:val="00B0725A"/>
    <w:rsid w:val="00BF2CD3"/>
    <w:rsid w:val="00C41420"/>
    <w:rsid w:val="00D41A23"/>
    <w:rsid w:val="00DC23B5"/>
    <w:rsid w:val="00E10065"/>
    <w:rsid w:val="00E725BB"/>
    <w:rsid w:val="00E83AC1"/>
    <w:rsid w:val="00ED5C11"/>
    <w:rsid w:val="00EF4E84"/>
    <w:rsid w:val="00F0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CEEB2-28D1-4180-9060-BACAA1BC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numPr>
        <w:numId w:val="3"/>
      </w:numPr>
      <w:ind w:left="0"/>
      <w:outlineLvl w:val="0"/>
    </w:pPr>
    <w:rPr>
      <w:b/>
      <w:bCs/>
    </w:rPr>
  </w:style>
  <w:style w:type="paragraph" w:styleId="Heading2">
    <w:name w:val="heading 2"/>
    <w:basedOn w:val="Normal"/>
    <w:next w:val="Normal"/>
    <w:link w:val="Heading2Char"/>
    <w:uiPriority w:val="9"/>
    <w:semiHidden/>
    <w:unhideWhenUsed/>
    <w:qFormat/>
    <w:rsid w:val="002F244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244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244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244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244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244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244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244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F244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2F244A"/>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F244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2F244A"/>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F244A"/>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F244A"/>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F244A"/>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F244A"/>
    <w:rPr>
      <w:rFonts w:asciiTheme="majorHAnsi" w:eastAsiaTheme="majorEastAsia" w:hAnsiTheme="majorHAnsi" w:cstheme="majorBidi"/>
      <w:i/>
      <w:iCs/>
      <w:color w:val="272727" w:themeColor="text1" w:themeTint="D8"/>
      <w:sz w:val="21"/>
      <w:szCs w:val="21"/>
      <w:lang w:bidi="en-US"/>
    </w:rPr>
  </w:style>
  <w:style w:type="character" w:styleId="Hyperlink">
    <w:name w:val="Hyperlink"/>
    <w:basedOn w:val="DefaultParagraphFont"/>
    <w:uiPriority w:val="99"/>
    <w:unhideWhenUsed/>
    <w:rsid w:val="00940637"/>
    <w:rPr>
      <w:color w:val="0000FF" w:themeColor="hyperlink"/>
      <w:u w:val="single"/>
    </w:rPr>
  </w:style>
  <w:style w:type="character" w:customStyle="1" w:styleId="UnresolvedMention1">
    <w:name w:val="Unresolved Mention1"/>
    <w:basedOn w:val="DefaultParagraphFont"/>
    <w:uiPriority w:val="99"/>
    <w:semiHidden/>
    <w:unhideWhenUsed/>
    <w:rsid w:val="00940637"/>
    <w:rPr>
      <w:color w:val="808080"/>
      <w:shd w:val="clear" w:color="auto" w:fill="E6E6E6"/>
    </w:rPr>
  </w:style>
  <w:style w:type="paragraph" w:styleId="BalloonText">
    <w:name w:val="Balloon Text"/>
    <w:basedOn w:val="Normal"/>
    <w:link w:val="BalloonTextChar"/>
    <w:uiPriority w:val="99"/>
    <w:semiHidden/>
    <w:unhideWhenUsed/>
    <w:rsid w:val="00B0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5A"/>
    <w:rPr>
      <w:rFonts w:ascii="Segoe UI" w:eastAsia="Calibri" w:hAnsi="Segoe UI" w:cs="Segoe UI"/>
      <w:sz w:val="18"/>
      <w:szCs w:val="18"/>
      <w:lang w:bidi="en-US"/>
    </w:rPr>
  </w:style>
  <w:style w:type="character" w:customStyle="1" w:styleId="Heading1Char">
    <w:name w:val="Heading 1 Char"/>
    <w:basedOn w:val="DefaultParagraphFont"/>
    <w:link w:val="Heading1"/>
    <w:uiPriority w:val="1"/>
    <w:rsid w:val="00540303"/>
    <w:rPr>
      <w:rFonts w:ascii="Calibri" w:eastAsia="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6661">
      <w:bodyDiv w:val="1"/>
      <w:marLeft w:val="0"/>
      <w:marRight w:val="0"/>
      <w:marTop w:val="0"/>
      <w:marBottom w:val="0"/>
      <w:divBdr>
        <w:top w:val="none" w:sz="0" w:space="0" w:color="auto"/>
        <w:left w:val="none" w:sz="0" w:space="0" w:color="auto"/>
        <w:bottom w:val="none" w:sz="0" w:space="0" w:color="auto"/>
        <w:right w:val="none" w:sz="0" w:space="0" w:color="auto"/>
      </w:divBdr>
    </w:div>
    <w:div w:id="1686446324">
      <w:bodyDiv w:val="1"/>
      <w:marLeft w:val="0"/>
      <w:marRight w:val="0"/>
      <w:marTop w:val="0"/>
      <w:marBottom w:val="0"/>
      <w:divBdr>
        <w:top w:val="none" w:sz="0" w:space="0" w:color="auto"/>
        <w:left w:val="none" w:sz="0" w:space="0" w:color="auto"/>
        <w:bottom w:val="none" w:sz="0" w:space="0" w:color="auto"/>
        <w:right w:val="none" w:sz="0" w:space="0" w:color="auto"/>
      </w:divBdr>
      <w:divsChild>
        <w:div w:id="1592545027">
          <w:marLeft w:val="720"/>
          <w:marRight w:val="0"/>
          <w:marTop w:val="0"/>
          <w:marBottom w:val="0"/>
          <w:divBdr>
            <w:top w:val="none" w:sz="0" w:space="0" w:color="auto"/>
            <w:left w:val="none" w:sz="0" w:space="0" w:color="auto"/>
            <w:bottom w:val="none" w:sz="0" w:space="0" w:color="auto"/>
            <w:right w:val="none" w:sz="0" w:space="0" w:color="auto"/>
          </w:divBdr>
        </w:div>
        <w:div w:id="1799765466">
          <w:marLeft w:val="720"/>
          <w:marRight w:val="0"/>
          <w:marTop w:val="0"/>
          <w:marBottom w:val="0"/>
          <w:divBdr>
            <w:top w:val="none" w:sz="0" w:space="0" w:color="auto"/>
            <w:left w:val="none" w:sz="0" w:space="0" w:color="auto"/>
            <w:bottom w:val="none" w:sz="0" w:space="0" w:color="auto"/>
            <w:right w:val="none" w:sz="0" w:space="0" w:color="auto"/>
          </w:divBdr>
        </w:div>
        <w:div w:id="1802455009">
          <w:marLeft w:val="720"/>
          <w:marRight w:val="0"/>
          <w:marTop w:val="0"/>
          <w:marBottom w:val="0"/>
          <w:divBdr>
            <w:top w:val="none" w:sz="0" w:space="0" w:color="auto"/>
            <w:left w:val="none" w:sz="0" w:space="0" w:color="auto"/>
            <w:bottom w:val="none" w:sz="0" w:space="0" w:color="auto"/>
            <w:right w:val="none" w:sz="0" w:space="0" w:color="auto"/>
          </w:divBdr>
        </w:div>
        <w:div w:id="1652830556">
          <w:marLeft w:val="720"/>
          <w:marRight w:val="0"/>
          <w:marTop w:val="0"/>
          <w:marBottom w:val="0"/>
          <w:divBdr>
            <w:top w:val="none" w:sz="0" w:space="0" w:color="auto"/>
            <w:left w:val="none" w:sz="0" w:space="0" w:color="auto"/>
            <w:bottom w:val="none" w:sz="0" w:space="0" w:color="auto"/>
            <w:right w:val="none" w:sz="0" w:space="0" w:color="auto"/>
          </w:divBdr>
        </w:div>
        <w:div w:id="866606039">
          <w:marLeft w:val="720"/>
          <w:marRight w:val="0"/>
          <w:marTop w:val="0"/>
          <w:marBottom w:val="0"/>
          <w:divBdr>
            <w:top w:val="none" w:sz="0" w:space="0" w:color="auto"/>
            <w:left w:val="none" w:sz="0" w:space="0" w:color="auto"/>
            <w:bottom w:val="none" w:sz="0" w:space="0" w:color="auto"/>
            <w:right w:val="none" w:sz="0" w:space="0" w:color="auto"/>
          </w:divBdr>
        </w:div>
        <w:div w:id="467820053">
          <w:marLeft w:val="1440"/>
          <w:marRight w:val="0"/>
          <w:marTop w:val="0"/>
          <w:marBottom w:val="0"/>
          <w:divBdr>
            <w:top w:val="none" w:sz="0" w:space="0" w:color="auto"/>
            <w:left w:val="none" w:sz="0" w:space="0" w:color="auto"/>
            <w:bottom w:val="none" w:sz="0" w:space="0" w:color="auto"/>
            <w:right w:val="none" w:sz="0" w:space="0" w:color="auto"/>
          </w:divBdr>
        </w:div>
        <w:div w:id="1868832583">
          <w:marLeft w:val="1440"/>
          <w:marRight w:val="0"/>
          <w:marTop w:val="0"/>
          <w:marBottom w:val="0"/>
          <w:divBdr>
            <w:top w:val="none" w:sz="0" w:space="0" w:color="auto"/>
            <w:left w:val="none" w:sz="0" w:space="0" w:color="auto"/>
            <w:bottom w:val="none" w:sz="0" w:space="0" w:color="auto"/>
            <w:right w:val="none" w:sz="0" w:space="0" w:color="auto"/>
          </w:divBdr>
        </w:div>
        <w:div w:id="1868180128">
          <w:marLeft w:val="1440"/>
          <w:marRight w:val="0"/>
          <w:marTop w:val="0"/>
          <w:marBottom w:val="0"/>
          <w:divBdr>
            <w:top w:val="none" w:sz="0" w:space="0" w:color="auto"/>
            <w:left w:val="none" w:sz="0" w:space="0" w:color="auto"/>
            <w:bottom w:val="none" w:sz="0" w:space="0" w:color="auto"/>
            <w:right w:val="none" w:sz="0" w:space="0" w:color="auto"/>
          </w:divBdr>
        </w:div>
        <w:div w:id="872578927">
          <w:marLeft w:val="1440"/>
          <w:marRight w:val="0"/>
          <w:marTop w:val="0"/>
          <w:marBottom w:val="0"/>
          <w:divBdr>
            <w:top w:val="none" w:sz="0" w:space="0" w:color="auto"/>
            <w:left w:val="none" w:sz="0" w:space="0" w:color="auto"/>
            <w:bottom w:val="none" w:sz="0" w:space="0" w:color="auto"/>
            <w:right w:val="none" w:sz="0" w:space="0" w:color="auto"/>
          </w:divBdr>
        </w:div>
        <w:div w:id="185271712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ylburn.org/rent/" TargetMode="External"/><Relationship Id="rId3" Type="http://schemas.openxmlformats.org/officeDocument/2006/relationships/settings" Target="settings.xml"/><Relationship Id="rId7" Type="http://schemas.openxmlformats.org/officeDocument/2006/relationships/hyperlink" Target="http://www.av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ingclassrooms.org/ourp_fdimmp.ph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tbma.org/about/rent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CBPStaff</dc:creator>
  <cp:lastModifiedBy>Rebecca Chillrud</cp:lastModifiedBy>
  <cp:revision>2</cp:revision>
  <dcterms:created xsi:type="dcterms:W3CDTF">2018-04-30T18:08:00Z</dcterms:created>
  <dcterms:modified xsi:type="dcterms:W3CDTF">2018-04-30T18:08:00Z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2016</vt:lpwstr>
  </property>
  <property fmtid="{D5CDD505-2E9C-101B-9397-08002B2CF9AE}" pid="4" name="LastSaved">
    <vt:filetime>2018-03-09T00:00:00Z</vt:filetime>
  </property>
</Properties>
</file>