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hd w:fill="auto" w:val="clear"/>
        <w:spacing w:line="240" w:lineRule="auto"/>
        <w:jc w:val="center"/>
        <w:rPr>
          <w:rFonts w:ascii="Calibri" w:cs="Calibri" w:eastAsia="Calibri" w:hAnsi="Calibri"/>
          <w:color w:val="93c47d"/>
          <w:sz w:val="32"/>
          <w:szCs w:val="32"/>
          <w:shd w:fill="auto" w:val="clear"/>
        </w:rPr>
      </w:pPr>
      <w:bookmarkStart w:colFirst="0" w:colLast="0" w:name="_tgz8corrpj1s" w:id="0"/>
      <w:bookmarkEnd w:id="0"/>
      <w:r w:rsidDel="00000000" w:rsidR="00000000" w:rsidRPr="00000000">
        <w:rPr>
          <w:color w:val="93c47d"/>
          <w:sz w:val="32"/>
          <w:szCs w:val="32"/>
          <w:shd w:fill="auto" w:val="clear"/>
          <w:rtl w:val="0"/>
        </w:rPr>
        <w:t xml:space="preserve">2026 EDUCATION SUMMIT </w:t>
      </w:r>
      <w:r w:rsidDel="00000000" w:rsidR="00000000" w:rsidRPr="00000000">
        <w:rPr>
          <w:rFonts w:ascii="Calibri" w:cs="Calibri" w:eastAsia="Calibri" w:hAnsi="Calibri"/>
          <w:color w:val="93c47d"/>
          <w:sz w:val="32"/>
          <w:szCs w:val="32"/>
          <w:shd w:fill="auto" w:val="clear"/>
          <w:rtl w:val="0"/>
        </w:rPr>
        <w:t xml:space="preserve">BRIGHT SPOTS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hd w:fill="auto" w:val="clear"/>
        <w:spacing w:line="240" w:lineRule="auto"/>
        <w:rPr>
          <w:rFonts w:ascii="Calibri" w:cs="Calibri" w:eastAsia="Calibri" w:hAnsi="Calibri"/>
          <w:color w:val="03937f"/>
          <w:sz w:val="24"/>
          <w:szCs w:val="24"/>
          <w:shd w:fill="auto" w:val="clear"/>
        </w:rPr>
      </w:pPr>
      <w:bookmarkStart w:colFirst="0" w:colLast="0" w:name="_mqjh1rcdz0gi" w:id="1"/>
      <w:bookmarkEnd w:id="1"/>
      <w:r w:rsidDel="00000000" w:rsidR="00000000" w:rsidRPr="00000000">
        <w:rPr>
          <w:rFonts w:ascii="Calibri" w:cs="Calibri" w:eastAsia="Calibri" w:hAnsi="Calibri"/>
          <w:color w:val="03937f"/>
          <w:sz w:val="24"/>
          <w:szCs w:val="24"/>
          <w:shd w:fill="auto" w:val="clear"/>
          <w:rtl w:val="0"/>
        </w:rPr>
        <w:t xml:space="preserve">STUDENT EXPERIENCES OUTCOME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spacing w:after="0" w:before="0" w:lineRule="auto"/>
        <w:ind w:left="720" w:hanging="360"/>
        <w:rPr>
          <w:b w:val="1"/>
          <w:bCs w:val="1"/>
          <w:sz w:val="22"/>
          <w:szCs w:val="22"/>
        </w:rPr>
      </w:pPr>
      <w:r w:rsidDel="00000000" w:rsidR="00000000" w:rsidRPr="00000000">
        <w:rPr>
          <w:b w:val="1"/>
          <w:bCs w:val="1"/>
          <w:sz w:val="22"/>
          <w:szCs w:val="22"/>
          <w:rtl w:val="0"/>
        </w:rPr>
        <w:t xml:space="preserve">Chris Cerino, Sultana Education Foundation</w:t>
        <w:br w:type="textWrapping"/>
      </w:r>
      <w:r w:rsidDel="00000000" w:rsidR="00000000" w:rsidRPr="00000000">
        <w:rPr>
          <w:sz w:val="22"/>
          <w:szCs w:val="22"/>
          <w:rtl w:val="0"/>
        </w:rPr>
        <w:t xml:space="preserve">Sultana Education Foundation regularly works with schools to develop in-depth citizen science programs in which students conduct a long-term investigation of a local waterway following </w:t>
      </w:r>
      <w:r w:rsidDel="00000000" w:rsidR="00000000" w:rsidRPr="00000000">
        <w:rPr>
          <w:rtl w:val="0"/>
        </w:rPr>
        <w:t xml:space="preserve">the</w:t>
      </w:r>
      <w:r w:rsidDel="00000000" w:rsidR="00000000" w:rsidRPr="00000000">
        <w:rPr>
          <w:sz w:val="22"/>
          <w:szCs w:val="22"/>
          <w:rtl w:val="0"/>
        </w:rPr>
        <w:t xml:space="preserve"> Meaningful Watershed Educational Experience (MWEE) fram</w:t>
      </w:r>
      <w:r w:rsidDel="00000000" w:rsidR="00000000" w:rsidRPr="00000000">
        <w:rPr>
          <w:rtl w:val="0"/>
        </w:rPr>
        <w:t xml:space="preserve">ework</w:t>
      </w:r>
      <w:r w:rsidDel="00000000" w:rsidR="00000000" w:rsidRPr="00000000">
        <w:rPr>
          <w:sz w:val="22"/>
          <w:szCs w:val="22"/>
          <w:rtl w:val="0"/>
        </w:rPr>
        <w:t xml:space="preserve">.</w:t>
      </w:r>
      <w:r w:rsidDel="00000000" w:rsidR="00000000" w:rsidRPr="00000000">
        <w:rPr>
          <w:sz w:val="22"/>
          <w:szCs w:val="22"/>
          <w:rtl w:val="0"/>
        </w:rPr>
        <w:t xml:space="preserve"> Throughout the course of their investigation, students participate in a variety of classroom-based lesson plans and field experiences led by Foundation staff members that address current issues facing local waterways, produce tangible water quality data, and culminate in the implementation of student-led action projects to improve water quality and educate the public about local environmental challenges facing their community. </w:t>
      </w:r>
      <w:r w:rsidDel="00000000" w:rsidR="00000000" w:rsidRPr="00000000">
        <w:rPr>
          <w:rtl w:val="0"/>
        </w:rPr>
        <w:t xml:space="preserve">Sultana facilitates several MWEEs tailored to specific grade levels and school district needs. Changing Chesapeake is a systemic MWEE program for Kent County’s 4th grade students that explores how human activities on land have impacted the health of the Chesapeake Bay over the past four centuries. Watershed Watch is a systemic MWEE program for Kent County’s 7th grade students in which participants investigate the health of the Radcliffe Creek Watershed and take action to improve the environment. The Wild Wetlands MWEE is an immersive environmental education program for 6th-grade students in Queen Anne’s County Public Schools, made possible through a NOAA </w:t>
      </w:r>
      <w:r w:rsidDel="00000000" w:rsidR="00000000" w:rsidRPr="00000000">
        <w:rPr>
          <w:rtl w:val="0"/>
        </w:rPr>
        <w:t xml:space="preserve">B-WET</w:t>
      </w:r>
      <w:r w:rsidDel="00000000" w:rsidR="00000000" w:rsidRPr="00000000">
        <w:rPr>
          <w:rtl w:val="0"/>
        </w:rPr>
        <w:t xml:space="preserve"> grant. Designed to complement the county’s Lab Aids curriculum, this program engages students in hands-on investigations at Sultana’s Lawrence Wetlands Preserve and Holt Education Center. Sultana has designed these programs in close collaboration with the school districts, identifying field experience locations that are often walkable from schools to reduce the costly transportation barrier that many programs face.</w:t>
        <w:br w:type="textWrapping"/>
      </w:r>
    </w:p>
    <w:p w:rsidR="00000000" w:rsidDel="00000000" w:rsidP="00000000" w:rsidRDefault="00000000" w:rsidRPr="00000000" w14:paraId="00000006">
      <w:pPr>
        <w:numPr>
          <w:ilvl w:val="0"/>
          <w:numId w:val="2"/>
        </w:numPr>
        <w:spacing w:after="0" w:before="0" w:lineRule="auto"/>
        <w:ind w:left="720" w:hanging="360"/>
        <w:rPr>
          <w:b w:val="1"/>
          <w:bCs w:val="1"/>
          <w:sz w:val="22"/>
          <w:szCs w:val="22"/>
        </w:rPr>
      </w:pPr>
      <w:r w:rsidDel="00000000" w:rsidR="00000000" w:rsidRPr="00000000">
        <w:rPr>
          <w:b w:val="1"/>
          <w:bCs w:val="1"/>
          <w:sz w:val="22"/>
          <w:szCs w:val="22"/>
          <w:rtl w:val="0"/>
        </w:rPr>
        <w:t xml:space="preserve">Callie Sams, West Virginia Department of Environmental Protection</w:t>
        <w:br w:type="textWrapping"/>
      </w:r>
      <w:r w:rsidDel="00000000" w:rsidR="00000000" w:rsidRPr="00000000">
        <w:rPr>
          <w:sz w:val="22"/>
          <w:szCs w:val="22"/>
          <w:rtl w:val="0"/>
        </w:rPr>
        <w:t xml:space="preserve">West Virginia will share success in delivering Meaningful Watershed Educational Experiences (MWEEs) through the WV Outdoor Learning Network Initiative (OLNI). OLNI us</w:t>
      </w:r>
      <w:r w:rsidDel="00000000" w:rsidR="00000000" w:rsidRPr="00000000">
        <w:rPr>
          <w:rtl w:val="0"/>
        </w:rPr>
        <w:t xml:space="preserve">es a network-based approach to deliver </w:t>
      </w:r>
      <w:r w:rsidDel="00000000" w:rsidR="00000000" w:rsidRPr="00000000">
        <w:rPr>
          <w:sz w:val="22"/>
          <w:szCs w:val="22"/>
          <w:rtl w:val="0"/>
        </w:rPr>
        <w:t xml:space="preserve">system-wide MWEEs in </w:t>
      </w:r>
      <w:r w:rsidDel="00000000" w:rsidR="00000000" w:rsidRPr="00000000">
        <w:rPr>
          <w:rtl w:val="0"/>
        </w:rPr>
        <w:t xml:space="preserve">multiple</w:t>
      </w:r>
      <w:r w:rsidDel="00000000" w:rsidR="00000000" w:rsidRPr="00000000">
        <w:rPr>
          <w:sz w:val="22"/>
          <w:szCs w:val="22"/>
          <w:rtl w:val="0"/>
        </w:rPr>
        <w:t xml:space="preserve"> counti</w:t>
      </w:r>
      <w:r w:rsidDel="00000000" w:rsidR="00000000" w:rsidRPr="00000000">
        <w:rPr>
          <w:rtl w:val="0"/>
        </w:rPr>
        <w:t xml:space="preserve">es in West Virginia</w:t>
      </w:r>
      <w:r w:rsidDel="00000000" w:rsidR="00000000" w:rsidRPr="00000000">
        <w:rPr>
          <w:sz w:val="22"/>
          <w:szCs w:val="22"/>
          <w:rtl w:val="0"/>
        </w:rPr>
        <w:t xml:space="preserve">. OLNI began in 2019 with the help of</w:t>
      </w:r>
      <w:r w:rsidDel="00000000" w:rsidR="00000000" w:rsidRPr="00000000">
        <w:rPr>
          <w:rtl w:val="0"/>
        </w:rPr>
        <w:t xml:space="preserve"> Chesapeake Bay Foundation</w:t>
      </w:r>
      <w:r w:rsidDel="00000000" w:rsidR="00000000" w:rsidRPr="00000000">
        <w:rPr>
          <w:sz w:val="22"/>
          <w:szCs w:val="22"/>
          <w:rtl w:val="0"/>
        </w:rPr>
        <w:t xml:space="preserve">, Chesapeake Bay Trust, and NOAA. Today, thanks to funding from</w:t>
      </w:r>
      <w:r w:rsidDel="00000000" w:rsidR="00000000" w:rsidRPr="00000000">
        <w:rPr>
          <w:sz w:val="22"/>
          <w:szCs w:val="22"/>
          <w:rtl w:val="0"/>
        </w:rPr>
        <w:t xml:space="preserve"> the WV DEP Chesapeake Bay Program</w:t>
      </w:r>
      <w:r w:rsidDel="00000000" w:rsidR="00000000" w:rsidRPr="00000000">
        <w:rPr>
          <w:sz w:val="22"/>
          <w:szCs w:val="22"/>
          <w:rtl w:val="0"/>
        </w:rPr>
        <w:t xml:space="preserve"> and educational guidance from county curriculum experts, Cacapon Institute, Experience Learning, and Potomac Valley Audubon Society are delivering MWEEs to every elementary school student in Berkeley, Jefferson, and Morgan counties. Th</w:t>
      </w:r>
      <w:r w:rsidDel="00000000" w:rsidR="00000000" w:rsidRPr="00000000">
        <w:rPr>
          <w:rtl w:val="0"/>
        </w:rPr>
        <w:t xml:space="preserve">erefore,</w:t>
      </w:r>
      <w:r w:rsidDel="00000000" w:rsidR="00000000" w:rsidRPr="00000000">
        <w:rPr>
          <w:sz w:val="22"/>
          <w:szCs w:val="22"/>
          <w:rtl w:val="0"/>
        </w:rPr>
        <w:t xml:space="preserve"> 74% of the elementary population across </w:t>
      </w:r>
      <w:r w:rsidDel="00000000" w:rsidR="00000000" w:rsidRPr="00000000">
        <w:rPr>
          <w:rtl w:val="0"/>
        </w:rPr>
        <w:t xml:space="preserve">the</w:t>
      </w:r>
      <w:r w:rsidDel="00000000" w:rsidR="00000000" w:rsidRPr="00000000">
        <w:rPr>
          <w:sz w:val="22"/>
          <w:szCs w:val="22"/>
          <w:rtl w:val="0"/>
        </w:rPr>
        <w:t xml:space="preserve"> eight </w:t>
      </w:r>
      <w:r w:rsidDel="00000000" w:rsidR="00000000" w:rsidRPr="00000000">
        <w:rPr>
          <w:rtl w:val="0"/>
        </w:rPr>
        <w:t xml:space="preserve">WV </w:t>
      </w:r>
      <w:r w:rsidDel="00000000" w:rsidR="00000000" w:rsidRPr="00000000">
        <w:rPr>
          <w:sz w:val="22"/>
          <w:szCs w:val="22"/>
          <w:rtl w:val="0"/>
        </w:rPr>
        <w:t xml:space="preserve">counties within the Che</w:t>
      </w:r>
      <w:r w:rsidDel="00000000" w:rsidR="00000000" w:rsidRPr="00000000">
        <w:rPr>
          <w:rtl w:val="0"/>
        </w:rPr>
        <w:t xml:space="preserve">sapeake Bay watershed are receiving a MWEE</w:t>
      </w:r>
      <w:r w:rsidDel="00000000" w:rsidR="00000000" w:rsidRPr="00000000">
        <w:rPr>
          <w:sz w:val="22"/>
          <w:szCs w:val="22"/>
          <w:rtl w:val="0"/>
        </w:rPr>
        <w:t xml:space="preserve">. </w:t>
      </w:r>
      <w:r w:rsidDel="00000000" w:rsidR="00000000" w:rsidRPr="00000000">
        <w:rPr>
          <w:rtl w:val="0"/>
        </w:rPr>
        <w:t xml:space="preserve">WV OLNI is providing students an opportunity to personally take action to improve water quality. With the Audubon Society, students wrote letters to parks &amp; recreation encouraging them to plant trees. With Experience Learning, at a public boat ramp, students painted a mural promoting civic responsibility for clean water. Cacapon Institute has helped students with installing rain gardens and planting trees. Since 2021, Opequon Elementary School students have planted 134 trees on their campus, a ten-acre property with less than 2% tree canopy cover. Six schools are maintaining Growing Native stations, micro-tree nurseries at schools. Students receive bare root tree whips, small seedlings that have been started at state nurseries. They “pot-up” the seedlings and nurse them into trees over 12 to 18 months. WV OLNI students have propagated and distributed thousands of trees out into their school-communities and local watershed groups.</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pStyle w:val="Heading1"/>
        <w:shd w:fill="auto" w:val="clear"/>
        <w:spacing w:line="240" w:lineRule="auto"/>
        <w:rPr>
          <w:sz w:val="24"/>
          <w:szCs w:val="24"/>
        </w:rPr>
      </w:pPr>
      <w:bookmarkStart w:colFirst="0" w:colLast="0" w:name="_meojejfu0lt4" w:id="2"/>
      <w:bookmarkEnd w:id="2"/>
      <w:r w:rsidDel="00000000" w:rsidR="00000000" w:rsidRPr="00000000">
        <w:rPr>
          <w:rFonts w:ascii="Calibri" w:cs="Calibri" w:eastAsia="Calibri" w:hAnsi="Calibri"/>
          <w:color w:val="03937f"/>
          <w:sz w:val="24"/>
          <w:szCs w:val="24"/>
          <w:shd w:fill="auto" w:val="clear"/>
          <w:rtl w:val="0"/>
        </w:rPr>
        <w:t xml:space="preserve">SCHOOL DISTRICT PLANNING OUTCOME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numPr>
          <w:ilvl w:val="0"/>
          <w:numId w:val="1"/>
        </w:numPr>
        <w:spacing w:after="0" w:before="0" w:lineRule="auto"/>
        <w:ind w:left="720" w:hanging="360"/>
        <w:rPr>
          <w:b w:val="1"/>
          <w:bCs w:val="1"/>
        </w:rPr>
      </w:pPr>
      <w:bookmarkStart w:colFirst="0" w:colLast="0" w:name="_9qqrer71fu1y" w:id="3"/>
      <w:bookmarkEnd w:id="3"/>
      <w:r w:rsidDel="00000000" w:rsidR="00000000" w:rsidRPr="00000000">
        <w:rPr>
          <w:b w:val="1"/>
          <w:bCs w:val="1"/>
          <w:sz w:val="22"/>
          <w:szCs w:val="22"/>
          <w:rtl w:val="0"/>
        </w:rPr>
        <w:t xml:space="preserve">Elise Sheffield, Boxerwood Education Association</w:t>
      </w:r>
    </w:p>
    <w:p w:rsidR="00000000" w:rsidDel="00000000" w:rsidP="00000000" w:rsidRDefault="00000000" w:rsidRPr="00000000" w14:paraId="0000000D">
      <w:pPr>
        <w:spacing w:after="0" w:before="0" w:lineRule="auto"/>
        <w:ind w:left="720" w:firstLine="0"/>
        <w:rPr/>
      </w:pPr>
      <w:r w:rsidDel="00000000" w:rsidR="00000000" w:rsidRPr="00000000">
        <w:rPr>
          <w:color w:val="222222"/>
          <w:highlight w:val="white"/>
          <w:rtl w:val="0"/>
        </w:rPr>
        <w:t xml:space="preserve">How can schools and communities grow an environmentally literate and active citizenry when resources are scarce? Boxerwood Education Association offers a practical, highly-leveraged model as a way forward. Located in rural western Virginia (Upper James watershed), Boxerwood is a 25-year old lean and nimble grassroots non-profit whose mission is “to educate and inspire people of all ages to become successful stewards of the Earth.” By strategy, Boxerwood focuses its work locally, functioning as a community catalyst for environmental learning and action. Central to Boxerwood's work is Project NEST (Nurturing Environmental Stewardship Together), a two-decade partnership forged with all three local school divisions. Outcomes for Project NEST include: a systemic, multi-grade field-based curriculum from preK - gr. 6 (and select programs gr. 7-12); student-integrated conservation (community tree plantings and school-wide composting); a current NOAA-BWET award for building district environmental literacy plans; and young adults pursuing conservation careers who credit these Boxerwood experiences as a key component in their journeys. This good work occurs in an economically stressed area in which 10 of the 12 schools served by Project NEST average free/reduced meal levels greater than 76%. Two major elements of this success are: 1) a high-quality, hands-on place-based curriculum that supports school standards in the context of both local </w:t>
      </w:r>
      <w:r w:rsidDel="00000000" w:rsidR="00000000" w:rsidRPr="00000000">
        <w:rPr>
          <w:i w:val="1"/>
          <w:iCs w:val="1"/>
          <w:color w:val="222222"/>
          <w:highlight w:val="white"/>
          <w:rtl w:val="0"/>
        </w:rPr>
        <w:t xml:space="preserve">and </w:t>
      </w:r>
      <w:r w:rsidDel="00000000" w:rsidR="00000000" w:rsidRPr="00000000">
        <w:rPr>
          <w:color w:val="222222"/>
          <w:highlight w:val="white"/>
          <w:rtl w:val="0"/>
        </w:rPr>
        <w:t xml:space="preserve">Bay interests, and 2) long-term trusting relationships with schools, partners, and donors, in which everyone contributes what they can for outcomes that benefit us all: “stone soup” at its best.</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numPr>
          <w:ilvl w:val="0"/>
          <w:numId w:val="1"/>
        </w:numPr>
        <w:spacing w:after="0" w:before="0" w:lineRule="auto"/>
        <w:ind w:left="720" w:hanging="360"/>
        <w:rPr>
          <w:b w:val="1"/>
          <w:bCs w:val="1"/>
        </w:rPr>
      </w:pPr>
      <w:bookmarkStart w:colFirst="0" w:colLast="0" w:name="_fch9ow9dixu1" w:id="4"/>
      <w:bookmarkEnd w:id="4"/>
      <w:r w:rsidDel="00000000" w:rsidR="00000000" w:rsidRPr="00000000">
        <w:rPr>
          <w:b w:val="1"/>
          <w:bCs w:val="1"/>
          <w:sz w:val="22"/>
          <w:szCs w:val="22"/>
          <w:rtl w:val="0"/>
        </w:rPr>
        <w:t xml:space="preserve">Tammie Peffer, Pennsylvania Department of Education</w:t>
      </w:r>
    </w:p>
    <w:p w:rsidR="00000000" w:rsidDel="00000000" w:rsidP="00000000" w:rsidRDefault="00000000" w:rsidRPr="00000000" w14:paraId="00000010">
      <w:pPr>
        <w:spacing w:after="0" w:before="0" w:lineRule="auto"/>
        <w:ind w:left="720" w:firstLine="0"/>
        <w:rPr/>
      </w:pPr>
      <w:r w:rsidDel="00000000" w:rsidR="00000000" w:rsidRPr="00000000">
        <w:rPr>
          <w:color w:val="222222"/>
          <w:highlight w:val="white"/>
          <w:rtl w:val="0"/>
        </w:rPr>
        <w:t xml:space="preserve">Pennsylvania environmental literacy capacity building efforts required an enhanced and strategic approach to expand, strengthen, and support the work of the Pennsylvania Environmental Literacy (PA ELit) Network. To address local needs with a statewide lens, six regional hubs were instituted in 2022. Hub boundaries align to the regions of the Pennsylvania Association of Environmental Educators (PAEE), the state affiliate of the North American Association for Environmental Education (NAAEE). </w:t>
      </w:r>
      <w:r w:rsidDel="00000000" w:rsidR="00000000" w:rsidRPr="00000000">
        <w:rPr>
          <w:rtl w:val="0"/>
        </w:rPr>
        <w:t xml:space="preserve">Each regional hub is facilitated by two co-leads, generally consisting of one formal and one nonformal educator. Since 2022, the PA ELit Network has worked to formalize hub leader roles and duties and define outputs; increase implementation support for Meaningful Watershed Educational Experiences (MWEEs) in formal and nonformal education settings; facilitate an annual exemplar summit in each hub to complement the Pennsylvania Department of Education’s (PDE) Intermediate Unit (IU) statement of work; review internal and external communication plans and adapt as needed; and expand the PA Certified MWEE Facilitator and Trainer levels cadre across all hubs to support K-12 formal and nonformal educators with MWEE implementation and the curricular integration of the PA Science, Technology &amp; Engineering, Environmental Literacy &amp; Sustainability (STEELS) Academic Standards. In addition to monthly PA ELit Network steering committee meetings, hub leads meet monthly as a statewide cohort. Hub leadership responsibilities have rotated from the northeast hub to the southeast hub, and the six </w:t>
      </w:r>
      <w:r w:rsidDel="00000000" w:rsidR="00000000" w:rsidRPr="00000000">
        <w:rPr>
          <w:rtl w:val="0"/>
        </w:rPr>
        <w:t xml:space="preserve">hubs</w:t>
      </w:r>
      <w:r w:rsidDel="00000000" w:rsidR="00000000" w:rsidRPr="00000000">
        <w:rPr>
          <w:rtl w:val="0"/>
        </w:rPr>
        <w:t xml:space="preserve">’ leads are developing a plan together for a longer-term governance structure to be instituted by the end of 2026. </w:t>
      </w:r>
    </w:p>
    <w:p w:rsidR="00000000" w:rsidDel="00000000" w:rsidP="00000000" w:rsidRDefault="00000000" w:rsidRPr="00000000" w14:paraId="00000011">
      <w:pPr>
        <w:spacing w:after="0" w:before="0" w:lineRule="auto"/>
        <w:ind w:left="720" w:firstLine="0"/>
        <w:rPr/>
      </w:pPr>
      <w:r w:rsidDel="00000000" w:rsidR="00000000" w:rsidRPr="00000000">
        <w:rPr>
          <w:rtl w:val="0"/>
        </w:rPr>
      </w:r>
    </w:p>
    <w:p w:rsidR="00000000" w:rsidDel="00000000" w:rsidP="00000000" w:rsidRDefault="00000000" w:rsidRPr="00000000" w14:paraId="00000012">
      <w:pPr>
        <w:spacing w:after="0" w:before="0" w:lineRule="auto"/>
        <w:ind w:left="720" w:firstLine="0"/>
        <w:rPr/>
      </w:pPr>
      <w:r w:rsidDel="00000000" w:rsidR="00000000" w:rsidRPr="00000000">
        <w:rPr>
          <w:rtl w:val="0"/>
        </w:rPr>
      </w:r>
    </w:p>
    <w:p w:rsidR="00000000" w:rsidDel="00000000" w:rsidP="00000000" w:rsidRDefault="00000000" w:rsidRPr="00000000" w14:paraId="00000013">
      <w:pPr>
        <w:spacing w:after="0" w:before="0" w:lineRule="auto"/>
        <w:ind w:left="720" w:firstLine="0"/>
        <w:rPr/>
      </w:pPr>
      <w:r w:rsidDel="00000000" w:rsidR="00000000" w:rsidRPr="00000000">
        <w:rPr>
          <w:rtl w:val="0"/>
        </w:rPr>
      </w:r>
    </w:p>
    <w:p w:rsidR="00000000" w:rsidDel="00000000" w:rsidP="00000000" w:rsidRDefault="00000000" w:rsidRPr="00000000" w14:paraId="00000014">
      <w:pPr>
        <w:spacing w:after="0" w:before="0" w:lineRule="auto"/>
        <w:ind w:left="720" w:firstLine="0"/>
        <w:rPr/>
      </w:pPr>
      <w:r w:rsidDel="00000000" w:rsidR="00000000" w:rsidRPr="00000000">
        <w:rPr>
          <w:rtl w:val="0"/>
        </w:rPr>
      </w:r>
    </w:p>
    <w:p w:rsidR="00000000" w:rsidDel="00000000" w:rsidP="00000000" w:rsidRDefault="00000000" w:rsidRPr="00000000" w14:paraId="00000015">
      <w:pPr>
        <w:spacing w:after="0" w:before="0" w:lineRule="auto"/>
        <w:ind w:left="720" w:firstLine="0"/>
        <w:rPr/>
      </w:pPr>
      <w:r w:rsidDel="00000000" w:rsidR="00000000" w:rsidRPr="00000000">
        <w:rPr>
          <w:rtl w:val="0"/>
        </w:rPr>
      </w:r>
    </w:p>
    <w:p w:rsidR="00000000" w:rsidDel="00000000" w:rsidP="00000000" w:rsidRDefault="00000000" w:rsidRPr="00000000" w14:paraId="00000016">
      <w:pPr>
        <w:pStyle w:val="Heading1"/>
        <w:shd w:fill="auto" w:val="clear"/>
        <w:spacing w:line="240" w:lineRule="auto"/>
        <w:rPr>
          <w:color w:val="03937f"/>
          <w:sz w:val="24"/>
          <w:szCs w:val="24"/>
          <w:shd w:fill="auto" w:val="clear"/>
        </w:rPr>
      </w:pPr>
      <w:bookmarkStart w:colFirst="0" w:colLast="0" w:name="_q8v6i9s54ea" w:id="5"/>
      <w:bookmarkEnd w:id="5"/>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shd w:fill="auto" w:val="clear"/>
        <w:spacing w:line="240" w:lineRule="auto"/>
        <w:rPr>
          <w:rFonts w:ascii="Calibri" w:cs="Calibri" w:eastAsia="Calibri" w:hAnsi="Calibri"/>
          <w:color w:val="03937f"/>
          <w:sz w:val="24"/>
          <w:szCs w:val="24"/>
          <w:shd w:fill="auto" w:val="clear"/>
        </w:rPr>
      </w:pPr>
      <w:bookmarkStart w:colFirst="0" w:colLast="0" w:name="_vjo39wehow3n" w:id="6"/>
      <w:bookmarkEnd w:id="6"/>
      <w:r w:rsidDel="00000000" w:rsidR="00000000" w:rsidRPr="00000000">
        <w:rPr>
          <w:rFonts w:ascii="Calibri" w:cs="Calibri" w:eastAsia="Calibri" w:hAnsi="Calibri"/>
          <w:color w:val="03937f"/>
          <w:sz w:val="24"/>
          <w:szCs w:val="24"/>
          <w:shd w:fill="auto" w:val="clear"/>
          <w:rtl w:val="0"/>
        </w:rPr>
        <w:t xml:space="preserve">WORKFORCE OUTCOME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numPr>
          <w:ilvl w:val="0"/>
          <w:numId w:val="1"/>
        </w:numPr>
        <w:spacing w:after="0" w:before="0" w:line="240" w:lineRule="auto"/>
        <w:ind w:left="720" w:hanging="360"/>
        <w:rPr>
          <w:rFonts w:ascii="Calibri" w:cs="Calibri" w:eastAsia="Calibri" w:hAnsi="Calibri"/>
          <w:b w:val="1"/>
          <w:bCs w:val="1"/>
          <w:u w:val="none"/>
        </w:rPr>
      </w:pPr>
      <w:bookmarkStart w:colFirst="0" w:colLast="0" w:name="_x7lbg6xegghu" w:id="7"/>
      <w:bookmarkEnd w:id="7"/>
      <w:r w:rsidDel="00000000" w:rsidR="00000000" w:rsidRPr="00000000">
        <w:rPr>
          <w:rFonts w:ascii="Calibri" w:cs="Calibri" w:eastAsia="Calibri" w:hAnsi="Calibri"/>
          <w:b w:val="1"/>
          <w:bCs w:val="1"/>
          <w:sz w:val="22"/>
          <w:szCs w:val="22"/>
          <w:rtl w:val="0"/>
        </w:rPr>
        <w:t xml:space="preserve">Ashley Duncan, DC Department of Energy &amp; Environment</w:t>
      </w:r>
    </w:p>
    <w:p w:rsidR="00000000" w:rsidDel="00000000" w:rsidP="00000000" w:rsidRDefault="00000000" w:rsidRPr="00000000" w14:paraId="0000001A">
      <w:pPr>
        <w:spacing w:after="0" w:before="0" w:line="240" w:lineRule="auto"/>
        <w:ind w:left="720" w:firstLine="0"/>
        <w:rPr>
          <w:rFonts w:ascii="Calibri" w:cs="Calibri" w:eastAsia="Calibri" w:hAnsi="Calibri"/>
        </w:rPr>
      </w:pPr>
      <w:r w:rsidDel="00000000" w:rsidR="00000000" w:rsidRPr="00000000">
        <w:rPr>
          <w:highlight w:val="white"/>
          <w:rtl w:val="0"/>
        </w:rPr>
        <w:t xml:space="preserve">The DC Department of Energy and Environment (DOEE), in partnership with the Department of Employment Services, offers a career pathway from age 14 through full-time employment via the Green Zone Environmental Program (GZEP). Participants ages 14 to 24 attend six weeks of courses, service activities, and field trips. For those 18 and up, they can be hired as staff to run the various work sites, for a position lasting eight to 27 weeks. Successful staff may be invited to stay with the agency through September 30 as interns in the Green Ready Program, supporting DOEE programs alongside full-time staff. GZEP is part of the District's Marion Barry Summer Youth Employment Program. Participants are recruited through DC high schools. GZEP/Green Ready alumni currently work at DOEE in Watershed Protection, Human Resources, and more. Since 2012, 45 people have been hired to the agency full-time through the GZEP staff-to-Green Ready pathway. Brightspot speaker Ashley Duncan will share how her experience in DOEE's Green Zone Environmental Program in June 2023 and Green Ready in August 2023 led to her full-time employment at DOEE, where she now serves as an Environmental Protection Specialist. </w:t>
      </w:r>
      <w:r w:rsidDel="00000000" w:rsidR="00000000" w:rsidRPr="00000000">
        <w:rPr>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numPr>
          <w:ilvl w:val="0"/>
          <w:numId w:val="1"/>
        </w:numPr>
        <w:spacing w:after="0" w:before="0" w:lineRule="auto"/>
        <w:ind w:left="720" w:hanging="360"/>
        <w:rPr>
          <w:b w:val="1"/>
          <w:bCs w:val="1"/>
        </w:rPr>
      </w:pPr>
      <w:bookmarkStart w:colFirst="0" w:colLast="0" w:name="_g3sic2vbu8yc" w:id="8"/>
      <w:bookmarkEnd w:id="8"/>
      <w:r w:rsidDel="00000000" w:rsidR="00000000" w:rsidRPr="00000000">
        <w:rPr>
          <w:b w:val="1"/>
          <w:bCs w:val="1"/>
          <w:sz w:val="22"/>
          <w:szCs w:val="22"/>
          <w:rtl w:val="0"/>
        </w:rPr>
        <w:t xml:space="preserve">Sarah Bell, Delaware Department of Education</w:t>
      </w:r>
    </w:p>
    <w:p w:rsidR="00000000" w:rsidDel="00000000" w:rsidP="00000000" w:rsidRDefault="00000000" w:rsidRPr="00000000" w14:paraId="0000001D">
      <w:pPr>
        <w:spacing w:after="0" w:before="0" w:lineRule="auto"/>
        <w:ind w:left="720" w:firstLine="0"/>
        <w:rPr/>
      </w:pPr>
      <w:r w:rsidDel="00000000" w:rsidR="00000000" w:rsidRPr="00000000">
        <w:rPr>
          <w:rtl w:val="0"/>
        </w:rPr>
        <w:t xml:space="preserve">The Delaware Department of Education incorporates environmental literacy into Career and Technical Education (CTE) through the statewide Pathways initiative. CTE Pathways prepares students for careers while building environmental awareness and sustainability knowledge and skills. Environmental literacy is embedded across career pathways, so students understand how environmental issues impact fields such as agriculture, health sciences, and education. Delaware CTE developed a framework of environmental literacy competencies that are focusing on understanding environmental systems, evaluating human impacts, identifying sustainable practices within industries, and exploring environmentally related careers. These competencies are integrated into classroom instruction, project-based learning, and career exploration activities. By aligning environmental awareness with workforce preparation, Delaware aims to equip students with the skills needed to make informed environmental decisions and participate in a growing green economy while pursuing technical careers. </w:t>
      </w:r>
      <w:r w:rsidDel="00000000" w:rsidR="00000000" w:rsidRPr="00000000">
        <w:rPr>
          <w:rtl w:val="0"/>
        </w:rPr>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r>
    </w:p>
    <w:sectPr>
      <w:headerReference r:id="rId6" w:type="default"/>
      <w:footerReference r:id="rId7" w:type="default"/>
      <w:pgSz w:h="15840" w:w="12240" w:orient="portrait"/>
      <w:pgMar w:bottom="72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line="276" w:lineRule="auto"/>
      <w:jc w:val="right"/>
      <w:rPr/>
    </w:pPr>
    <w:r w:rsidDel="00000000" w:rsidR="00000000" w:rsidRPr="00000000">
      <w:rPr/>
      <w:drawing>
        <wp:inline distB="114300" distT="114300" distL="114300" distR="114300">
          <wp:extent cx="2090738" cy="643304"/>
          <wp:effectExtent b="0" l="0" r="0" t="0"/>
          <wp:docPr id="1" name="image1.jpg"/>
          <a:graphic>
            <a:graphicData uri="http://schemas.openxmlformats.org/drawingml/2006/picture">
              <pic:pic>
                <pic:nvPicPr>
                  <pic:cNvPr id="0" name="image1.jpg"/>
                  <pic:cNvPicPr preferRelativeResize="0"/>
                </pic:nvPicPr>
                <pic:blipFill>
                  <a:blip r:embed="rId1"/>
                  <a:srcRect b="35946" l="0" r="0" t="27342"/>
                  <a:stretch>
                    <a:fillRect/>
                  </a:stretch>
                </pic:blipFill>
                <pic:spPr>
                  <a:xfrm>
                    <a:off x="0" y="0"/>
                    <a:ext cx="2090738" cy="64330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fffff" w:val="clear"/>
    </w:pPr>
    <w:rPr>
      <w:b w:val="1"/>
      <w:bCs w:val="1"/>
      <w:color w:val="222222"/>
      <w:highlight w:val="whit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