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C20C" w14:textId="0E684A13" w:rsidR="004E6A27" w:rsidRPr="00F43783" w:rsidRDefault="001D732F" w:rsidP="00CC0CE8">
      <w:pPr>
        <w:rPr>
          <w:b/>
          <w:bCs/>
        </w:rPr>
      </w:pPr>
      <w:r w:rsidRPr="00F43783">
        <w:rPr>
          <w:b/>
          <w:bCs/>
        </w:rPr>
        <w:t xml:space="preserve">Nontidal Network Workgroup </w:t>
      </w:r>
    </w:p>
    <w:p w14:paraId="43C2C067" w14:textId="77777777" w:rsidR="00EF7E0F" w:rsidRDefault="00EF7E0F" w:rsidP="00CC0CE8">
      <w:pPr>
        <w:rPr>
          <w:b/>
          <w:bCs/>
        </w:rPr>
      </w:pPr>
    </w:p>
    <w:p w14:paraId="3FDCA30F" w14:textId="133A6F0B" w:rsidR="00941A5B" w:rsidRPr="00EF7E0F" w:rsidRDefault="00941A5B" w:rsidP="00CC0CE8">
      <w:pPr>
        <w:rPr>
          <w:b/>
          <w:bCs/>
        </w:rPr>
      </w:pPr>
      <w:r w:rsidRPr="00EF7E0F">
        <w:rPr>
          <w:b/>
          <w:bCs/>
        </w:rPr>
        <w:t>Document Content</w:t>
      </w:r>
    </w:p>
    <w:p w14:paraId="621417E4" w14:textId="47CDDD8F" w:rsidR="00C407ED" w:rsidRDefault="00C407ED" w:rsidP="00CC0CE8">
      <w:r>
        <w:t>Proposal for how th</w:t>
      </w:r>
      <w:r w:rsidR="00941A5B">
        <w:t>is team</w:t>
      </w:r>
      <w:r>
        <w:t xml:space="preserve"> will operate under the new Clean Water Goal Team Structure with the 2025 Chesapeake Bay Watershed Agreement</w:t>
      </w:r>
      <w:r w:rsidR="00941A5B">
        <w:t>, including</w:t>
      </w:r>
      <w:r w:rsidR="00162E5A">
        <w:t xml:space="preserve"> purpose,</w:t>
      </w:r>
      <w:r w:rsidR="00941A5B">
        <w:t xml:space="preserve"> objectives, </w:t>
      </w:r>
      <w:r w:rsidR="00162E5A">
        <w:t>scope, leadership, membership, and meeting frequency.</w:t>
      </w:r>
      <w:r w:rsidR="00941A5B">
        <w:t xml:space="preserve"> </w:t>
      </w:r>
    </w:p>
    <w:p w14:paraId="0671B982" w14:textId="77777777" w:rsidR="00EF7E0F" w:rsidRDefault="00EF7E0F" w:rsidP="00162E5A">
      <w:pPr>
        <w:rPr>
          <w:b/>
          <w:bCs/>
        </w:rPr>
      </w:pPr>
    </w:p>
    <w:p w14:paraId="2BA2414C" w14:textId="77777777" w:rsidR="00EF7E0F" w:rsidRDefault="00162E5A" w:rsidP="00162E5A">
      <w:pPr>
        <w:rPr>
          <w:b/>
          <w:bCs/>
        </w:rPr>
      </w:pPr>
      <w:r w:rsidRPr="00162E5A">
        <w:rPr>
          <w:b/>
          <w:bCs/>
        </w:rPr>
        <w:t>Purpose</w:t>
      </w:r>
    </w:p>
    <w:p w14:paraId="661037DF" w14:textId="7F885142" w:rsidR="00162E5A" w:rsidRPr="00162E5A" w:rsidRDefault="00162E5A" w:rsidP="00162E5A">
      <w:r w:rsidRPr="00162E5A">
        <w:t>The Nontidal Workgroup provides coordinated leadership for the Nontidal Network (NTN), ensuring high</w:t>
      </w:r>
      <w:r w:rsidRPr="00162E5A">
        <w:noBreakHyphen/>
        <w:t xml:space="preserve">quality monitoring, efficient analytical workflows, and clear delivery of load and trend information that supports the </w:t>
      </w:r>
      <w:r w:rsidR="00727E4E">
        <w:t>p</w:t>
      </w:r>
      <w:r w:rsidRPr="00162E5A">
        <w:t>artnership’s Clean Water goals. The workgroup serves as a focused venue for addressing NTN-specific operational, analytical, and communication needs while offering predictable engagement opportunities for field and analytical partners.</w:t>
      </w:r>
    </w:p>
    <w:p w14:paraId="0475F78B" w14:textId="77777777" w:rsidR="00727E4E" w:rsidRDefault="00727E4E" w:rsidP="00162E5A">
      <w:pPr>
        <w:rPr>
          <w:b/>
          <w:bCs/>
        </w:rPr>
      </w:pPr>
    </w:p>
    <w:p w14:paraId="1ED345C4" w14:textId="77777777" w:rsidR="00B55940" w:rsidRDefault="00162E5A" w:rsidP="00B55940">
      <w:pPr>
        <w:rPr>
          <w:b/>
          <w:bCs/>
        </w:rPr>
      </w:pPr>
      <w:r w:rsidRPr="00B55940">
        <w:rPr>
          <w:b/>
          <w:bCs/>
        </w:rPr>
        <w:t>Objectives</w:t>
      </w:r>
    </w:p>
    <w:p w14:paraId="2F361A0F" w14:textId="77777777" w:rsidR="00B55940" w:rsidRDefault="00162E5A" w:rsidP="00B55940">
      <w:pPr>
        <w:pStyle w:val="ListParagraph"/>
        <w:numPr>
          <w:ilvl w:val="0"/>
          <w:numId w:val="4"/>
        </w:numPr>
      </w:pPr>
      <w:r w:rsidRPr="00162E5A">
        <w:t>Ensure NTN field monitoring is conducted safely, consistently, and at high quality across all participating jurisdictions and partners.</w:t>
      </w:r>
    </w:p>
    <w:p w14:paraId="0A70A531" w14:textId="77777777" w:rsidR="00B55940" w:rsidRDefault="00162E5A" w:rsidP="00B55940">
      <w:pPr>
        <w:pStyle w:val="ListParagraph"/>
        <w:numPr>
          <w:ilvl w:val="0"/>
          <w:numId w:val="4"/>
        </w:numPr>
      </w:pPr>
      <w:r w:rsidRPr="00162E5A">
        <w:t>Maintain and improve the processes required to produce robust load and trend analyses</w:t>
      </w:r>
      <w:r w:rsidR="00B55940">
        <w:t>, which foundational for the following Outcomes and Targets in the 2025 Chesapeake Bay Watershed Agreement:</w:t>
      </w:r>
    </w:p>
    <w:p w14:paraId="0965BBCD" w14:textId="2680E993" w:rsidR="00B55940" w:rsidRDefault="00787490" w:rsidP="00B55940">
      <w:pPr>
        <w:pStyle w:val="ListParagraph"/>
        <w:numPr>
          <w:ilvl w:val="1"/>
          <w:numId w:val="4"/>
        </w:numPr>
      </w:pPr>
      <w:r w:rsidRPr="00787490">
        <w:t xml:space="preserve">Reducing Excess Nitrogen, Phosphorous &amp; Sediment </w:t>
      </w:r>
      <w:r>
        <w:t>(</w:t>
      </w:r>
      <w:r w:rsidR="00B55940">
        <w:t>RE</w:t>
      </w:r>
      <w:r w:rsidR="00EF7E0F">
        <w:t>N</w:t>
      </w:r>
      <w:r w:rsidR="00B55940">
        <w:t>PS</w:t>
      </w:r>
      <w:r>
        <w:t>)</w:t>
      </w:r>
    </w:p>
    <w:p w14:paraId="4BB31735" w14:textId="03D6E7AD" w:rsidR="00165A81" w:rsidRDefault="00165A81" w:rsidP="00165A81">
      <w:pPr>
        <w:pStyle w:val="ListParagraph"/>
        <w:numPr>
          <w:ilvl w:val="2"/>
          <w:numId w:val="4"/>
        </w:numPr>
      </w:pPr>
      <w:r w:rsidRPr="00165A81">
        <w:t>Demonstrate net reductions in nitrogen, phosphorus and sediment through multiple lines of evidence, including modeling and monitoring data.</w:t>
      </w:r>
    </w:p>
    <w:p w14:paraId="2CB2421E" w14:textId="66D2780F" w:rsidR="00B55940" w:rsidRDefault="00165A81" w:rsidP="00B55940">
      <w:pPr>
        <w:pStyle w:val="ListParagraph"/>
        <w:numPr>
          <w:ilvl w:val="1"/>
          <w:numId w:val="4"/>
        </w:numPr>
      </w:pPr>
      <w:r w:rsidRPr="00165A81">
        <w:t xml:space="preserve">Water Quality, Standards Attainment &amp; Monitoring </w:t>
      </w:r>
      <w:r>
        <w:t>(</w:t>
      </w:r>
      <w:r w:rsidR="00B55940">
        <w:t>WQSAM</w:t>
      </w:r>
      <w:r>
        <w:t>)</w:t>
      </w:r>
    </w:p>
    <w:p w14:paraId="53A66F9B" w14:textId="2E69A0F1" w:rsidR="00165A81" w:rsidRDefault="00165A81" w:rsidP="00165A81">
      <w:pPr>
        <w:pStyle w:val="ListParagraph"/>
        <w:numPr>
          <w:ilvl w:val="2"/>
          <w:numId w:val="4"/>
        </w:numPr>
      </w:pPr>
      <w:r w:rsidRPr="00165A81">
        <w:t>Maintain full core monitoring network operations (i.e., nontidal water quality, SAV, tidal water quality, benthic and community science) annually to support analysis and communication of water quality loads, trends and criteria attainment.</w:t>
      </w:r>
    </w:p>
    <w:p w14:paraId="08E993AE" w14:textId="4F29A108" w:rsidR="00165A81" w:rsidRDefault="00165A81" w:rsidP="00165A81">
      <w:pPr>
        <w:pStyle w:val="ListParagraph"/>
        <w:numPr>
          <w:ilvl w:val="2"/>
          <w:numId w:val="4"/>
        </w:numPr>
      </w:pPr>
      <w:r w:rsidRPr="00165A81">
        <w:t xml:space="preserve">Analyze and report status/loads, trends and factors affecting those trends for nontidal and tidal water quality.  </w:t>
      </w:r>
    </w:p>
    <w:p w14:paraId="1EE4AC6F" w14:textId="77777777" w:rsidR="00B55940" w:rsidRDefault="00162E5A" w:rsidP="00B55940">
      <w:pPr>
        <w:pStyle w:val="ListParagraph"/>
        <w:numPr>
          <w:ilvl w:val="0"/>
          <w:numId w:val="4"/>
        </w:numPr>
      </w:pPr>
      <w:r w:rsidRPr="00162E5A">
        <w:lastRenderedPageBreak/>
        <w:t>Deliver timely, accessible, and decision-relevant load and trend results that meet Partnership needs.</w:t>
      </w:r>
    </w:p>
    <w:p w14:paraId="16829FC8" w14:textId="77777777" w:rsidR="00B55940" w:rsidRDefault="00162E5A" w:rsidP="00B55940">
      <w:pPr>
        <w:pStyle w:val="ListParagraph"/>
        <w:numPr>
          <w:ilvl w:val="0"/>
          <w:numId w:val="4"/>
        </w:numPr>
      </w:pPr>
      <w:r w:rsidRPr="00162E5A">
        <w:t>Identify opportunities to use monitoring data to assess progress toward water</w:t>
      </w:r>
      <w:r w:rsidRPr="00162E5A">
        <w:noBreakHyphen/>
        <w:t>quality goals.</w:t>
      </w:r>
    </w:p>
    <w:p w14:paraId="44D33B35" w14:textId="77777777" w:rsidR="00B55940" w:rsidRDefault="00162E5A" w:rsidP="00B55940">
      <w:pPr>
        <w:pStyle w:val="ListParagraph"/>
        <w:numPr>
          <w:ilvl w:val="0"/>
          <w:numId w:val="4"/>
        </w:numPr>
      </w:pPr>
      <w:r w:rsidRPr="00162E5A">
        <w:t>Provide structured, recurring opportunities for field crews, analysts, and program staff to share updates, address challenges, and coordinate solutions.</w:t>
      </w:r>
    </w:p>
    <w:p w14:paraId="12C529E0" w14:textId="77777777" w:rsidR="00B55940" w:rsidRDefault="00162E5A" w:rsidP="00B55940">
      <w:pPr>
        <w:pStyle w:val="ListParagraph"/>
        <w:numPr>
          <w:ilvl w:val="0"/>
          <w:numId w:val="4"/>
        </w:numPr>
      </w:pPr>
      <w:r w:rsidRPr="00162E5A">
        <w:t>Strengthen communication across related technical groups (e.g., D</w:t>
      </w:r>
      <w:r w:rsidR="00923E3B">
        <w:t xml:space="preserve">ata Integrity </w:t>
      </w:r>
      <w:r w:rsidRPr="00162E5A">
        <w:t>W</w:t>
      </w:r>
      <w:r w:rsidR="00923E3B">
        <w:t>orkgroup</w:t>
      </w:r>
      <w:r w:rsidRPr="00162E5A">
        <w:t>, laboratories, field audit teams) while keeping the NTN WG focused on its core responsibilities.</w:t>
      </w:r>
    </w:p>
    <w:p w14:paraId="173C5309" w14:textId="08BB414F" w:rsidR="00162E5A" w:rsidRPr="00162E5A" w:rsidRDefault="00162E5A" w:rsidP="00B55940">
      <w:pPr>
        <w:pStyle w:val="ListParagraph"/>
        <w:numPr>
          <w:ilvl w:val="0"/>
          <w:numId w:val="4"/>
        </w:numPr>
      </w:pPr>
      <w:r w:rsidRPr="00162E5A">
        <w:t>Establish predictable, rotating meeting topics that support consistent engagement from both field-oriented and analysis-oriented participants.</w:t>
      </w:r>
    </w:p>
    <w:p w14:paraId="557C1A38" w14:textId="77777777" w:rsidR="00923E3B" w:rsidRDefault="00923E3B" w:rsidP="00162E5A">
      <w:pPr>
        <w:rPr>
          <w:b/>
          <w:bCs/>
        </w:rPr>
      </w:pPr>
    </w:p>
    <w:p w14:paraId="5D1A6F7D" w14:textId="77777777" w:rsidR="00D945EC" w:rsidRDefault="00162E5A" w:rsidP="00417239">
      <w:pPr>
        <w:rPr>
          <w:b/>
          <w:bCs/>
        </w:rPr>
      </w:pPr>
      <w:r w:rsidRPr="00162E5A">
        <w:rPr>
          <w:b/>
          <w:bCs/>
        </w:rPr>
        <w:t>Scope</w:t>
      </w:r>
    </w:p>
    <w:p w14:paraId="343E5B77" w14:textId="07E012D4" w:rsidR="00D945EC" w:rsidRDefault="00162E5A" w:rsidP="00D945EC">
      <w:pPr>
        <w:pStyle w:val="ListParagraph"/>
        <w:numPr>
          <w:ilvl w:val="0"/>
          <w:numId w:val="5"/>
        </w:numPr>
      </w:pPr>
      <w:r w:rsidRPr="00162E5A">
        <w:t xml:space="preserve">Focus areas </w:t>
      </w:r>
      <w:r w:rsidR="00165A81" w:rsidRPr="00162E5A">
        <w:t>include</w:t>
      </w:r>
      <w:r w:rsidRPr="00162E5A">
        <w:t xml:space="preserve"> field operations, laboratory coordination, Q</w:t>
      </w:r>
      <w:r w:rsidR="00E10412">
        <w:t xml:space="preserve">uality </w:t>
      </w:r>
      <w:r w:rsidRPr="00162E5A">
        <w:t>A</w:t>
      </w:r>
      <w:r w:rsidR="00E10412">
        <w:t>ssurance</w:t>
      </w:r>
      <w:r w:rsidRPr="00162E5A">
        <w:t>/Q</w:t>
      </w:r>
      <w:r w:rsidR="00E10412">
        <w:t xml:space="preserve">uality Control (QA/QC) </w:t>
      </w:r>
      <w:r w:rsidRPr="00162E5A">
        <w:t>processes, data management, load and trend analytical methods, and reporting workflows.</w:t>
      </w:r>
    </w:p>
    <w:p w14:paraId="497F407E" w14:textId="6E8310EB" w:rsidR="00D945EC" w:rsidRDefault="00162E5A" w:rsidP="00D945EC">
      <w:pPr>
        <w:pStyle w:val="ListParagraph"/>
        <w:numPr>
          <w:ilvl w:val="0"/>
          <w:numId w:val="5"/>
        </w:numPr>
      </w:pPr>
      <w:r w:rsidRPr="00162E5A">
        <w:t>Meeting discussions encompass operational updates (e.g., site issues, sampling logistics, lab challenges), analytical methods and timelines, and jurisdiction-specific NTN progress reports.</w:t>
      </w:r>
    </w:p>
    <w:p w14:paraId="60CD9463" w14:textId="43CA788B" w:rsidR="00D945EC" w:rsidRDefault="00162E5A" w:rsidP="00D945EC">
      <w:pPr>
        <w:pStyle w:val="ListParagraph"/>
        <w:numPr>
          <w:ilvl w:val="0"/>
          <w:numId w:val="5"/>
        </w:numPr>
      </w:pPr>
      <w:r w:rsidRPr="00162E5A">
        <w:t xml:space="preserve">The workgroup does </w:t>
      </w:r>
      <w:r w:rsidRPr="00E10412">
        <w:t>not</w:t>
      </w:r>
      <w:r w:rsidRPr="00162E5A">
        <w:t xml:space="preserve"> serve as a research seminar or a general monitoring forum; its discussions remain centered on NTN operations and outputs.</w:t>
      </w:r>
    </w:p>
    <w:p w14:paraId="44A5396E" w14:textId="77777777" w:rsidR="00D945EC" w:rsidRDefault="00162E5A" w:rsidP="00D945EC">
      <w:pPr>
        <w:pStyle w:val="ListParagraph"/>
        <w:numPr>
          <w:ilvl w:val="0"/>
          <w:numId w:val="5"/>
        </w:numPr>
      </w:pPr>
      <w:r w:rsidRPr="00162E5A">
        <w:t xml:space="preserve">The group coordinates with emerging monitoring structures (e.g., the Clean Water Goal Team’s Monitoring </w:t>
      </w:r>
      <w:r w:rsidR="0055644E">
        <w:t>Workgroup</w:t>
      </w:r>
      <w:r w:rsidRPr="00162E5A">
        <w:t>) but retains autonomy to address NTN’s ongoing operational needs</w:t>
      </w:r>
      <w:r w:rsidR="00417239">
        <w:t>, including workflows, data analysis, and communication plans</w:t>
      </w:r>
      <w:r w:rsidR="00D945EC">
        <w:t>.</w:t>
      </w:r>
    </w:p>
    <w:p w14:paraId="4FC1FCCB" w14:textId="77777777" w:rsidR="00D945EC" w:rsidRDefault="00162E5A" w:rsidP="00D945EC">
      <w:pPr>
        <w:pStyle w:val="ListParagraph"/>
        <w:numPr>
          <w:ilvl w:val="0"/>
          <w:numId w:val="5"/>
        </w:numPr>
      </w:pPr>
      <w:r w:rsidRPr="00162E5A">
        <w:t>The NTN WG may schedule supplemental “office hours” or ad hoc technical sessions to maintain momentum between full-group meetings.</w:t>
      </w:r>
    </w:p>
    <w:p w14:paraId="55558A04" w14:textId="359C7F07" w:rsidR="00417239" w:rsidRPr="00162E5A" w:rsidRDefault="00162E5A" w:rsidP="00D945EC">
      <w:pPr>
        <w:pStyle w:val="ListParagraph"/>
        <w:numPr>
          <w:ilvl w:val="0"/>
          <w:numId w:val="5"/>
        </w:numPr>
      </w:pPr>
      <w:r w:rsidRPr="00162E5A">
        <w:t>A predictable rotation of field-focused and analysis-focused meeting topics will help ensure that participation aligns with member roles and enhances engagement</w:t>
      </w:r>
      <w:r w:rsidR="00417239">
        <w:t xml:space="preserve">, </w:t>
      </w:r>
      <w:r w:rsidRPr="00162E5A">
        <w:t>particularly among field staff.</w:t>
      </w:r>
      <w:r w:rsidR="00417239" w:rsidRPr="00417239">
        <w:t xml:space="preserve"> </w:t>
      </w:r>
      <w:r w:rsidR="00417239" w:rsidRPr="00162E5A">
        <w:t>analytical partners.</w:t>
      </w:r>
    </w:p>
    <w:p w14:paraId="4D9CA853" w14:textId="77777777" w:rsidR="00417239" w:rsidRDefault="00417239" w:rsidP="00417239">
      <w:pPr>
        <w:rPr>
          <w:b/>
          <w:bCs/>
        </w:rPr>
      </w:pPr>
    </w:p>
    <w:p w14:paraId="573FC767" w14:textId="77777777" w:rsidR="00D945EC" w:rsidRDefault="00417239" w:rsidP="00417239">
      <w:pPr>
        <w:rPr>
          <w:b/>
          <w:bCs/>
        </w:rPr>
      </w:pPr>
      <w:r>
        <w:rPr>
          <w:b/>
          <w:bCs/>
        </w:rPr>
        <w:t>Meeting Schedule</w:t>
      </w:r>
    </w:p>
    <w:p w14:paraId="3296907E" w14:textId="369C15C6" w:rsidR="00417239" w:rsidRDefault="00595F9D" w:rsidP="00661630">
      <w:pPr>
        <w:pStyle w:val="ListParagraph"/>
        <w:numPr>
          <w:ilvl w:val="0"/>
          <w:numId w:val="8"/>
        </w:numPr>
      </w:pPr>
      <w:r>
        <w:t>Rotation of every other month</w:t>
      </w:r>
      <w:r w:rsidR="00F448DB">
        <w:t xml:space="preserve"> Leadership Team and </w:t>
      </w:r>
      <w:r>
        <w:t>f</w:t>
      </w:r>
      <w:r w:rsidR="00F448DB">
        <w:t xml:space="preserve">ull </w:t>
      </w:r>
      <w:r>
        <w:t>t</w:t>
      </w:r>
      <w:r w:rsidR="00F448DB">
        <w:t xml:space="preserve">eam </w:t>
      </w:r>
      <w:r>
        <w:t>m</w:t>
      </w:r>
      <w:r w:rsidR="00F448DB">
        <w:t>eetings</w:t>
      </w:r>
      <w:r w:rsidR="00F905EE">
        <w:t xml:space="preserve">. </w:t>
      </w:r>
    </w:p>
    <w:p w14:paraId="40E646ED" w14:textId="03DED5A6" w:rsidR="00F905EE" w:rsidRDefault="00F905EE" w:rsidP="00661630">
      <w:pPr>
        <w:pStyle w:val="ListParagraph"/>
        <w:numPr>
          <w:ilvl w:val="0"/>
          <w:numId w:val="8"/>
        </w:numPr>
      </w:pPr>
      <w:r>
        <w:lastRenderedPageBreak/>
        <w:t>Designate a representative from each of the partner organizations to attend the full team meetings and report out</w:t>
      </w:r>
      <w:r w:rsidR="00661630">
        <w:t>s</w:t>
      </w:r>
      <w:r>
        <w:t xml:space="preserve"> on status updates on behalf of the field and analysis teams. </w:t>
      </w:r>
    </w:p>
    <w:p w14:paraId="7E6C42C3" w14:textId="77777777" w:rsidR="00C2250A" w:rsidRDefault="00C2250A" w:rsidP="00417239"/>
    <w:p w14:paraId="66B196C5" w14:textId="77777777" w:rsidR="00417239" w:rsidRDefault="00417239" w:rsidP="00417239">
      <w:pPr>
        <w:rPr>
          <w:b/>
          <w:bCs/>
        </w:rPr>
      </w:pPr>
      <w:r>
        <w:rPr>
          <w:b/>
          <w:bCs/>
        </w:rPr>
        <w:t>Leadership</w:t>
      </w:r>
    </w:p>
    <w:p w14:paraId="66FBD38E" w14:textId="77777777" w:rsidR="00AE2FBA" w:rsidRDefault="00AE2FBA" w:rsidP="00AE2FBA">
      <w:pPr>
        <w:pStyle w:val="ListParagraph"/>
        <w:numPr>
          <w:ilvl w:val="0"/>
          <w:numId w:val="9"/>
        </w:numPr>
      </w:pPr>
      <w:r>
        <w:t>Coordinator: Peter Tango</w:t>
      </w:r>
    </w:p>
    <w:p w14:paraId="70EBD56D" w14:textId="77777777" w:rsidR="00AE2FBA" w:rsidRDefault="00AE2FBA" w:rsidP="00AE2FBA">
      <w:pPr>
        <w:pStyle w:val="ListParagraph"/>
        <w:numPr>
          <w:ilvl w:val="0"/>
          <w:numId w:val="9"/>
        </w:numPr>
      </w:pPr>
      <w:r>
        <w:t>Staffer: Gabriel Duran</w:t>
      </w:r>
    </w:p>
    <w:p w14:paraId="70620FEB" w14:textId="72EF1DC5" w:rsidR="00417239" w:rsidRDefault="00AE2FBA" w:rsidP="00AE2FBA">
      <w:pPr>
        <w:pStyle w:val="ListParagraph"/>
        <w:numPr>
          <w:ilvl w:val="0"/>
          <w:numId w:val="9"/>
        </w:numPr>
      </w:pPr>
      <w:r>
        <w:t xml:space="preserve">Team Members: </w:t>
      </w:r>
      <w:r w:rsidR="00B0034C">
        <w:t>Doug Moyer, Jimmy Webber, Ken Hyer, Mary Stack, Brandon Fleming, Alex Soroka, Matt Kearns</w:t>
      </w:r>
      <w:r w:rsidR="00F43783">
        <w:t>, Kaylyn Gootman</w:t>
      </w:r>
    </w:p>
    <w:p w14:paraId="77767900" w14:textId="77777777" w:rsidR="00C2250A" w:rsidRDefault="00C2250A" w:rsidP="00417239">
      <w:pPr>
        <w:rPr>
          <w:b/>
          <w:bCs/>
        </w:rPr>
      </w:pPr>
    </w:p>
    <w:p w14:paraId="33130869" w14:textId="77777777" w:rsidR="00D945EC" w:rsidRDefault="00417239" w:rsidP="00417239">
      <w:pPr>
        <w:rPr>
          <w:b/>
          <w:bCs/>
        </w:rPr>
      </w:pPr>
      <w:r>
        <w:rPr>
          <w:b/>
          <w:bCs/>
        </w:rPr>
        <w:t>Membership</w:t>
      </w:r>
    </w:p>
    <w:p w14:paraId="4E650100" w14:textId="551324C7" w:rsidR="00C2250A" w:rsidRDefault="00AE2FBA" w:rsidP="00AE2FBA">
      <w:pPr>
        <w:pStyle w:val="ListParagraph"/>
        <w:numPr>
          <w:ilvl w:val="0"/>
          <w:numId w:val="10"/>
        </w:numPr>
      </w:pPr>
      <w:r>
        <w:t>Representatives from each of the NTN partner organizations (n=25)</w:t>
      </w:r>
    </w:p>
    <w:p w14:paraId="37129104" w14:textId="77777777" w:rsidR="00C2250A" w:rsidRDefault="00C2250A" w:rsidP="00417239"/>
    <w:p w14:paraId="2C48DF6D" w14:textId="77777777" w:rsidR="00D945EC" w:rsidRDefault="00C2250A" w:rsidP="00C2250A">
      <w:pPr>
        <w:rPr>
          <w:b/>
          <w:bCs/>
        </w:rPr>
      </w:pPr>
      <w:r>
        <w:rPr>
          <w:b/>
          <w:bCs/>
        </w:rPr>
        <w:t>Coordination with the Monitoring Workgroup and Clean Water Goal Team</w:t>
      </w:r>
    </w:p>
    <w:p w14:paraId="5E522370" w14:textId="60D0A21D" w:rsidR="00C2250A" w:rsidRDefault="00165A81" w:rsidP="00F448DB">
      <w:pPr>
        <w:pStyle w:val="ListParagraph"/>
        <w:numPr>
          <w:ilvl w:val="0"/>
          <w:numId w:val="7"/>
        </w:numPr>
      </w:pPr>
      <w:r>
        <w:t>Designate representatives from the Leadership Team to par</w:t>
      </w:r>
      <w:r w:rsidR="00F448DB">
        <w:t xml:space="preserve">ticipate </w:t>
      </w:r>
      <w:r>
        <w:t>in the Monitoring Workgroup Meetings</w:t>
      </w:r>
      <w:r w:rsidR="00AD1403">
        <w:t xml:space="preserve">, </w:t>
      </w:r>
      <w:r>
        <w:t>contribute to agenda development</w:t>
      </w:r>
      <w:r w:rsidR="00AD1403">
        <w:t xml:space="preserve">, and share information between </w:t>
      </w:r>
      <w:r w:rsidR="00F448DB">
        <w:t>the NTN Workgroup, Monitoring Team, and when necessary, the Clean Water Goal Team.</w:t>
      </w:r>
    </w:p>
    <w:p w14:paraId="74D299FA" w14:textId="08A86337" w:rsidR="00AD1403" w:rsidRPr="00162E5A" w:rsidRDefault="00AD1403" w:rsidP="00F448DB">
      <w:pPr>
        <w:pStyle w:val="ListParagraph"/>
        <w:numPr>
          <w:ilvl w:val="0"/>
          <w:numId w:val="7"/>
        </w:numPr>
      </w:pPr>
      <w:r>
        <w:t>Let the full group know when NTN topics will be on a Monitoring Workgroup or Clean Water Goal Team Agenda</w:t>
      </w:r>
      <w:r w:rsidR="00F448DB">
        <w:t xml:space="preserve"> so members can decide whether to attend or not. </w:t>
      </w:r>
    </w:p>
    <w:sectPr w:rsidR="00AD1403" w:rsidRPr="00162E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B872" w14:textId="77777777" w:rsidR="00EF76EF" w:rsidRDefault="00EF76EF" w:rsidP="00EF7E0F">
      <w:pPr>
        <w:spacing w:after="0" w:line="240" w:lineRule="auto"/>
      </w:pPr>
      <w:r>
        <w:separator/>
      </w:r>
    </w:p>
  </w:endnote>
  <w:endnote w:type="continuationSeparator" w:id="0">
    <w:p w14:paraId="05A4ACB6" w14:textId="77777777" w:rsidR="00EF76EF" w:rsidRDefault="00EF76EF" w:rsidP="00EF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601650"/>
      <w:docPartObj>
        <w:docPartGallery w:val="Page Numbers (Bottom of Page)"/>
        <w:docPartUnique/>
      </w:docPartObj>
    </w:sdtPr>
    <w:sdtEndPr>
      <w:rPr>
        <w:noProof/>
      </w:rPr>
    </w:sdtEndPr>
    <w:sdtContent>
      <w:p w14:paraId="21838189" w14:textId="0A56BB57" w:rsidR="00EF7E0F" w:rsidRDefault="00EF7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C40E9" w14:textId="77777777" w:rsidR="00EF7E0F" w:rsidRDefault="00EF7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9C9C" w14:textId="77777777" w:rsidR="00EF76EF" w:rsidRDefault="00EF76EF" w:rsidP="00EF7E0F">
      <w:pPr>
        <w:spacing w:after="0" w:line="240" w:lineRule="auto"/>
      </w:pPr>
      <w:r>
        <w:separator/>
      </w:r>
    </w:p>
  </w:footnote>
  <w:footnote w:type="continuationSeparator" w:id="0">
    <w:p w14:paraId="3038DC18" w14:textId="77777777" w:rsidR="00EF76EF" w:rsidRDefault="00EF76EF" w:rsidP="00EF7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062"/>
    <w:multiLevelType w:val="hybridMultilevel"/>
    <w:tmpl w:val="847E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24A0"/>
    <w:multiLevelType w:val="hybridMultilevel"/>
    <w:tmpl w:val="7FC08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5221"/>
    <w:multiLevelType w:val="hybridMultilevel"/>
    <w:tmpl w:val="BA9C9118"/>
    <w:lvl w:ilvl="0" w:tplc="04090001">
      <w:start w:val="1"/>
      <w:numFmt w:val="bullet"/>
      <w:lvlText w:val=""/>
      <w:lvlJc w:val="left"/>
      <w:pPr>
        <w:ind w:left="720" w:hanging="360"/>
      </w:pPr>
      <w:rPr>
        <w:rFonts w:ascii="Symbol" w:hAnsi="Symbol" w:hint="default"/>
      </w:rPr>
    </w:lvl>
    <w:lvl w:ilvl="1" w:tplc="BD420A10">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3242A"/>
    <w:multiLevelType w:val="hybridMultilevel"/>
    <w:tmpl w:val="3C5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079E6"/>
    <w:multiLevelType w:val="hybridMultilevel"/>
    <w:tmpl w:val="84DA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95AF8"/>
    <w:multiLevelType w:val="hybridMultilevel"/>
    <w:tmpl w:val="6F5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1DC4"/>
    <w:multiLevelType w:val="hybridMultilevel"/>
    <w:tmpl w:val="30EC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A1FE1"/>
    <w:multiLevelType w:val="hybridMultilevel"/>
    <w:tmpl w:val="827A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3335D"/>
    <w:multiLevelType w:val="hybridMultilevel"/>
    <w:tmpl w:val="4522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62E57"/>
    <w:multiLevelType w:val="hybridMultilevel"/>
    <w:tmpl w:val="FED2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566622">
    <w:abstractNumId w:val="2"/>
  </w:num>
  <w:num w:numId="2" w16cid:durableId="310446798">
    <w:abstractNumId w:val="4"/>
  </w:num>
  <w:num w:numId="3" w16cid:durableId="1166238764">
    <w:abstractNumId w:val="9"/>
  </w:num>
  <w:num w:numId="4" w16cid:durableId="350688203">
    <w:abstractNumId w:val="1"/>
  </w:num>
  <w:num w:numId="5" w16cid:durableId="379600954">
    <w:abstractNumId w:val="5"/>
  </w:num>
  <w:num w:numId="6" w16cid:durableId="1729959550">
    <w:abstractNumId w:val="0"/>
  </w:num>
  <w:num w:numId="7" w16cid:durableId="156968615">
    <w:abstractNumId w:val="3"/>
  </w:num>
  <w:num w:numId="8" w16cid:durableId="1350064358">
    <w:abstractNumId w:val="8"/>
  </w:num>
  <w:num w:numId="9" w16cid:durableId="1830904162">
    <w:abstractNumId w:val="6"/>
  </w:num>
  <w:num w:numId="10" w16cid:durableId="1020426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FD"/>
    <w:rsid w:val="0009022E"/>
    <w:rsid w:val="000B76E1"/>
    <w:rsid w:val="000E71FD"/>
    <w:rsid w:val="000F7950"/>
    <w:rsid w:val="00162E5A"/>
    <w:rsid w:val="00165A81"/>
    <w:rsid w:val="001801E5"/>
    <w:rsid w:val="001D732F"/>
    <w:rsid w:val="003B2BF7"/>
    <w:rsid w:val="00417239"/>
    <w:rsid w:val="004E6A27"/>
    <w:rsid w:val="0055644E"/>
    <w:rsid w:val="00595F9D"/>
    <w:rsid w:val="005A17D6"/>
    <w:rsid w:val="00661630"/>
    <w:rsid w:val="00727E4E"/>
    <w:rsid w:val="00734F81"/>
    <w:rsid w:val="007637C5"/>
    <w:rsid w:val="00787490"/>
    <w:rsid w:val="00923E3B"/>
    <w:rsid w:val="00941A5B"/>
    <w:rsid w:val="00944007"/>
    <w:rsid w:val="00A00E19"/>
    <w:rsid w:val="00AD1403"/>
    <w:rsid w:val="00AE2FBA"/>
    <w:rsid w:val="00B0034C"/>
    <w:rsid w:val="00B52F53"/>
    <w:rsid w:val="00B55940"/>
    <w:rsid w:val="00C2250A"/>
    <w:rsid w:val="00C407ED"/>
    <w:rsid w:val="00CC0CE8"/>
    <w:rsid w:val="00D837EF"/>
    <w:rsid w:val="00D945EC"/>
    <w:rsid w:val="00DB12B8"/>
    <w:rsid w:val="00DF5064"/>
    <w:rsid w:val="00E10412"/>
    <w:rsid w:val="00EF76EF"/>
    <w:rsid w:val="00EF7E0F"/>
    <w:rsid w:val="00F43783"/>
    <w:rsid w:val="00F448DB"/>
    <w:rsid w:val="00F90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82B4"/>
  <w15:chartTrackingRefBased/>
  <w15:docId w15:val="{760A4C6E-CE3C-4837-B210-D2DE1F9F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FD"/>
    <w:rPr>
      <w:rFonts w:eastAsiaTheme="majorEastAsia" w:cstheme="majorBidi"/>
      <w:color w:val="272727" w:themeColor="text1" w:themeTint="D8"/>
    </w:rPr>
  </w:style>
  <w:style w:type="paragraph" w:styleId="Title">
    <w:name w:val="Title"/>
    <w:basedOn w:val="Normal"/>
    <w:next w:val="Normal"/>
    <w:link w:val="TitleChar"/>
    <w:uiPriority w:val="10"/>
    <w:qFormat/>
    <w:rsid w:val="000E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FD"/>
    <w:pPr>
      <w:spacing w:before="160"/>
      <w:jc w:val="center"/>
    </w:pPr>
    <w:rPr>
      <w:i/>
      <w:iCs/>
      <w:color w:val="404040" w:themeColor="text1" w:themeTint="BF"/>
    </w:rPr>
  </w:style>
  <w:style w:type="character" w:customStyle="1" w:styleId="QuoteChar">
    <w:name w:val="Quote Char"/>
    <w:basedOn w:val="DefaultParagraphFont"/>
    <w:link w:val="Quote"/>
    <w:uiPriority w:val="29"/>
    <w:rsid w:val="000E71FD"/>
    <w:rPr>
      <w:i/>
      <w:iCs/>
      <w:color w:val="404040" w:themeColor="text1" w:themeTint="BF"/>
    </w:rPr>
  </w:style>
  <w:style w:type="paragraph" w:styleId="ListParagraph">
    <w:name w:val="List Paragraph"/>
    <w:basedOn w:val="Normal"/>
    <w:uiPriority w:val="34"/>
    <w:qFormat/>
    <w:rsid w:val="000E71FD"/>
    <w:pPr>
      <w:ind w:left="720"/>
      <w:contextualSpacing/>
    </w:pPr>
  </w:style>
  <w:style w:type="character" w:styleId="IntenseEmphasis">
    <w:name w:val="Intense Emphasis"/>
    <w:basedOn w:val="DefaultParagraphFont"/>
    <w:uiPriority w:val="21"/>
    <w:qFormat/>
    <w:rsid w:val="000E71FD"/>
    <w:rPr>
      <w:i/>
      <w:iCs/>
      <w:color w:val="0F4761" w:themeColor="accent1" w:themeShade="BF"/>
    </w:rPr>
  </w:style>
  <w:style w:type="paragraph" w:styleId="IntenseQuote">
    <w:name w:val="Intense Quote"/>
    <w:basedOn w:val="Normal"/>
    <w:next w:val="Normal"/>
    <w:link w:val="IntenseQuoteChar"/>
    <w:uiPriority w:val="30"/>
    <w:qFormat/>
    <w:rsid w:val="000E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FD"/>
    <w:rPr>
      <w:i/>
      <w:iCs/>
      <w:color w:val="0F4761" w:themeColor="accent1" w:themeShade="BF"/>
    </w:rPr>
  </w:style>
  <w:style w:type="character" w:styleId="IntenseReference">
    <w:name w:val="Intense Reference"/>
    <w:basedOn w:val="DefaultParagraphFont"/>
    <w:uiPriority w:val="32"/>
    <w:qFormat/>
    <w:rsid w:val="000E71FD"/>
    <w:rPr>
      <w:b/>
      <w:bCs/>
      <w:smallCaps/>
      <w:color w:val="0F4761" w:themeColor="accent1" w:themeShade="BF"/>
      <w:spacing w:val="5"/>
    </w:rPr>
  </w:style>
  <w:style w:type="paragraph" w:styleId="NormalWeb">
    <w:name w:val="Normal (Web)"/>
    <w:basedOn w:val="Normal"/>
    <w:uiPriority w:val="99"/>
    <w:semiHidden/>
    <w:unhideWhenUsed/>
    <w:rsid w:val="00CC0CE8"/>
    <w:rPr>
      <w:rFonts w:ascii="Times New Roman" w:hAnsi="Times New Roman" w:cs="Times New Roman"/>
    </w:rPr>
  </w:style>
  <w:style w:type="character" w:styleId="CommentReference">
    <w:name w:val="annotation reference"/>
    <w:basedOn w:val="DefaultParagraphFont"/>
    <w:uiPriority w:val="99"/>
    <w:semiHidden/>
    <w:unhideWhenUsed/>
    <w:rsid w:val="005A17D6"/>
    <w:rPr>
      <w:sz w:val="16"/>
      <w:szCs w:val="16"/>
    </w:rPr>
  </w:style>
  <w:style w:type="paragraph" w:styleId="CommentText">
    <w:name w:val="annotation text"/>
    <w:basedOn w:val="Normal"/>
    <w:link w:val="CommentTextChar"/>
    <w:uiPriority w:val="99"/>
    <w:unhideWhenUsed/>
    <w:rsid w:val="005A17D6"/>
    <w:pPr>
      <w:spacing w:line="240" w:lineRule="auto"/>
    </w:pPr>
    <w:rPr>
      <w:sz w:val="20"/>
      <w:szCs w:val="20"/>
    </w:rPr>
  </w:style>
  <w:style w:type="character" w:customStyle="1" w:styleId="CommentTextChar">
    <w:name w:val="Comment Text Char"/>
    <w:basedOn w:val="DefaultParagraphFont"/>
    <w:link w:val="CommentText"/>
    <w:uiPriority w:val="99"/>
    <w:rsid w:val="005A17D6"/>
    <w:rPr>
      <w:sz w:val="20"/>
      <w:szCs w:val="20"/>
    </w:rPr>
  </w:style>
  <w:style w:type="paragraph" w:styleId="CommentSubject">
    <w:name w:val="annotation subject"/>
    <w:basedOn w:val="CommentText"/>
    <w:next w:val="CommentText"/>
    <w:link w:val="CommentSubjectChar"/>
    <w:uiPriority w:val="99"/>
    <w:semiHidden/>
    <w:unhideWhenUsed/>
    <w:rsid w:val="005A17D6"/>
    <w:rPr>
      <w:b/>
      <w:bCs/>
    </w:rPr>
  </w:style>
  <w:style w:type="character" w:customStyle="1" w:styleId="CommentSubjectChar">
    <w:name w:val="Comment Subject Char"/>
    <w:basedOn w:val="CommentTextChar"/>
    <w:link w:val="CommentSubject"/>
    <w:uiPriority w:val="99"/>
    <w:semiHidden/>
    <w:rsid w:val="005A17D6"/>
    <w:rPr>
      <w:b/>
      <w:bCs/>
      <w:sz w:val="20"/>
      <w:szCs w:val="20"/>
    </w:rPr>
  </w:style>
  <w:style w:type="paragraph" w:styleId="Header">
    <w:name w:val="header"/>
    <w:basedOn w:val="Normal"/>
    <w:link w:val="HeaderChar"/>
    <w:uiPriority w:val="99"/>
    <w:unhideWhenUsed/>
    <w:rsid w:val="00EF7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0F"/>
  </w:style>
  <w:style w:type="paragraph" w:styleId="Footer">
    <w:name w:val="footer"/>
    <w:basedOn w:val="Normal"/>
    <w:link w:val="FooterChar"/>
    <w:uiPriority w:val="99"/>
    <w:unhideWhenUsed/>
    <w:rsid w:val="00EF7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F"/>
  </w:style>
  <w:style w:type="paragraph" w:styleId="Revision">
    <w:name w:val="Revision"/>
    <w:hidden/>
    <w:uiPriority w:val="99"/>
    <w:semiHidden/>
    <w:rsid w:val="00944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Gootman, Kaylyn</dc:creator>
  <cp:keywords/>
  <dc:description/>
  <cp:lastModifiedBy>Gabriel Duran</cp:lastModifiedBy>
  <cp:revision>34</cp:revision>
  <dcterms:created xsi:type="dcterms:W3CDTF">2026-06-05T14:44:00Z</dcterms:created>
  <dcterms:modified xsi:type="dcterms:W3CDTF">2026-06-17T16:57:00Z</dcterms:modified>
</cp:coreProperties>
</file>