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2"/>
          <w:szCs w:val="32"/>
        </w:rPr>
      </w:pPr>
      <w:r w:rsidDel="00000000" w:rsidR="00000000" w:rsidRPr="00000000">
        <w:rPr>
          <w:b w:val="1"/>
          <w:bCs w:val="1"/>
          <w:sz w:val="32"/>
          <w:szCs w:val="32"/>
          <w:rtl w:val="0"/>
        </w:rPr>
        <w:t xml:space="preserve">3.1 Adapting to Changing Environmental Conditions Outcome SubChapter</w:t>
      </w:r>
    </w:p>
    <w:p w:rsidR="00000000" w:rsidDel="00000000" w:rsidP="00000000" w:rsidRDefault="00000000" w:rsidRPr="00000000" w14:paraId="00000002">
      <w:pPr>
        <w:rPr>
          <w:b w:val="1"/>
          <w:bCs w:val="1"/>
          <w:sz w:val="28"/>
          <w:szCs w:val="28"/>
        </w:rPr>
      </w:pPr>
      <w:r w:rsidDel="00000000" w:rsidR="00000000" w:rsidRPr="00000000">
        <w:rPr>
          <w:b w:val="1"/>
          <w:bCs w:val="1"/>
          <w:sz w:val="28"/>
          <w:szCs w:val="28"/>
          <w:rtl w:val="0"/>
        </w:rPr>
        <w:t xml:space="preserve"> </w:t>
      </w:r>
    </w:p>
    <w:p w:rsidR="00000000" w:rsidDel="00000000" w:rsidP="00000000" w:rsidRDefault="00000000" w:rsidRPr="00000000" w14:paraId="00000003">
      <w:pPr>
        <w:rPr>
          <w:sz w:val="28"/>
          <w:szCs w:val="28"/>
        </w:rPr>
      </w:pPr>
      <w:r w:rsidDel="00000000" w:rsidR="00000000" w:rsidRPr="00000000">
        <w:rPr>
          <w:sz w:val="28"/>
          <w:szCs w:val="28"/>
          <w:rtl w:val="0"/>
        </w:rPr>
        <w:t xml:space="preserve">Adapting to Changing Environmental Conditions:</w:t>
      </w:r>
    </w:p>
    <w:p w:rsidR="00000000" w:rsidDel="00000000" w:rsidP="00000000" w:rsidRDefault="00000000" w:rsidRPr="00000000" w14:paraId="00000004">
      <w:pPr>
        <w:rPr>
          <w:color w:val="1f1f1f"/>
        </w:rPr>
      </w:pPr>
      <w:r w:rsidDel="00000000" w:rsidR="00000000" w:rsidRPr="00000000">
        <w:rPr>
          <w:color w:val="1f1f1f"/>
          <w:rtl w:val="0"/>
        </w:rPr>
        <w:t xml:space="preserve">Increase the capacity for pursuing solutions, including those that are nature-based, to improve planning and responses to changing conditions while balancing long-term resilience of watershed communities, economies and ecosystems.</w:t>
      </w:r>
    </w:p>
    <w:p w:rsidR="00000000" w:rsidDel="00000000" w:rsidP="00000000" w:rsidRDefault="00000000" w:rsidRPr="00000000" w14:paraId="00000005">
      <w:pPr>
        <w:rPr>
          <w:color w:val="1f1f1f"/>
        </w:rPr>
      </w:pPr>
      <w:r w:rsidDel="00000000" w:rsidR="00000000" w:rsidRPr="00000000">
        <w:rPr>
          <w:rtl w:val="0"/>
        </w:rPr>
      </w:r>
    </w:p>
    <w:p w:rsidR="00000000" w:rsidDel="00000000" w:rsidP="00000000" w:rsidRDefault="00000000" w:rsidRPr="00000000" w14:paraId="00000006">
      <w:pPr>
        <w:ind w:left="1008" w:hanging="648"/>
        <w:rPr/>
      </w:pPr>
      <w:r w:rsidDel="00000000" w:rsidR="00000000" w:rsidRPr="00000000">
        <w:rPr>
          <w:rtl w:val="0"/>
        </w:rPr>
        <w:t xml:space="preserve">●        Target 1: By 2040, support at least seven sub-watershed areas with knowledge-sharing and technical assistance to identify adaptation options with a preference for nature-based solutions. These solutions include restoration and protection projects that will help address risks to people, infrastructure and habitats from changes in temperature, precipitation and landscapes.</w:t>
      </w:r>
    </w:p>
    <w:p w:rsidR="00000000" w:rsidDel="00000000" w:rsidP="00000000" w:rsidRDefault="00000000" w:rsidRPr="00000000" w14:paraId="00000007">
      <w:pPr>
        <w:ind w:left="1008" w:hanging="648"/>
        <w:rPr/>
      </w:pPr>
      <w:r w:rsidDel="00000000" w:rsidR="00000000" w:rsidRPr="00000000">
        <w:rPr>
          <w:rtl w:val="0"/>
        </w:rPr>
        <w:t xml:space="preserve">●        Target 2: By 2040, inform and lead to an increase in the implementation of the identified adaptation options that prioritize and integrate nature-based solutions in the above sub-watershed areas.</w:t>
      </w:r>
    </w:p>
    <w:p w:rsidR="00000000" w:rsidDel="00000000" w:rsidP="00000000" w:rsidRDefault="00000000" w:rsidRPr="00000000" w14:paraId="00000008">
      <w:pPr>
        <w:rPr>
          <w:sz w:val="24"/>
          <w:szCs w:val="24"/>
        </w:rPr>
      </w:pPr>
      <w:r w:rsidDel="00000000" w:rsidR="00000000" w:rsidRPr="00000000">
        <w:rPr>
          <w:sz w:val="24"/>
          <w:szCs w:val="24"/>
          <w:rtl w:val="0"/>
        </w:rPr>
        <w:t xml:space="preserve"> </w:t>
      </w:r>
    </w:p>
    <w:p w:rsidR="00000000" w:rsidDel="00000000" w:rsidP="00000000" w:rsidRDefault="00000000" w:rsidRPr="00000000" w14:paraId="00000009">
      <w:pPr>
        <w:rPr>
          <w:b w:val="1"/>
          <w:bCs w:val="1"/>
          <w:sz w:val="24"/>
          <w:szCs w:val="24"/>
        </w:rPr>
      </w:pPr>
      <w:r w:rsidDel="00000000" w:rsidR="00000000" w:rsidRPr="00000000">
        <w:rPr>
          <w:b w:val="1"/>
          <w:bCs w:val="1"/>
          <w:sz w:val="24"/>
          <w:szCs w:val="24"/>
          <w:rtl w:val="0"/>
        </w:rPr>
        <w:t xml:space="preserve">Baseline and Current Condition</w:t>
      </w:r>
    </w:p>
    <w:p w:rsidR="00000000" w:rsidDel="00000000" w:rsidP="00000000" w:rsidRDefault="00000000" w:rsidRPr="00000000" w14:paraId="0000000A">
      <w:pPr>
        <w:rPr>
          <w:sz w:val="24"/>
          <w:szCs w:val="24"/>
        </w:rPr>
      </w:pPr>
      <w:r w:rsidDel="00000000" w:rsidR="00000000" w:rsidRPr="00000000">
        <w:rPr>
          <w:sz w:val="24"/>
          <w:szCs w:val="24"/>
          <w:rtl w:val="0"/>
        </w:rPr>
        <w:t xml:space="preserve"> </w:t>
      </w:r>
    </w:p>
    <w:p w:rsidR="00000000" w:rsidDel="00000000" w:rsidP="00000000" w:rsidRDefault="00000000" w:rsidRPr="00000000" w14:paraId="0000000B">
      <w:pPr>
        <w:rPr>
          <w:color w:val="1f1f1f"/>
        </w:rPr>
      </w:pPr>
      <w:r w:rsidDel="00000000" w:rsidR="00000000" w:rsidRPr="00000000">
        <w:rPr>
          <w:color w:val="1f1f1f"/>
          <w:rtl w:val="0"/>
        </w:rPr>
        <w:t xml:space="preserve">The previous adaptation outcome under the 2014 Watershed Agreement did not have a formalized quantitative baseline or explicit project-tracking mechanisms for resilience-related projects. This was mainly due to the outcome being structured under the CBP’s Scientific, Technical, Assessment, and Reporting (STAR) team where progress was assessed from a qualitative perspective on addressing science needs. Under the revised 2025 Watershed Agreement framework, the Adapting to Changing Environmental Conditions (ACEC) outcome now has defined targets. To facilitate progress on the targets, we are using a place-based, adaptation needs-driven approach across chosen sub-watershed areas. This strategy targets the unique impacts of changing environmental conditions—specifically changes in precipitation, changes in air and water temperatures, and sea level rise—on local landscapes within the sub-watershed area. Ideally, the selected seven sub-watershed areas will have varying geographic and development considerations (e.g., urban, suburban, rural) where the workgroup can build capacity for adaptation strategies, with a focus on nature-based solutions (NbS), to maximize resilience and ecosystem benefits across coastal (tidal) and inland (nontidal) areas.</w:t>
      </w:r>
    </w:p>
    <w:p w:rsidR="00000000" w:rsidDel="00000000" w:rsidP="00000000" w:rsidRDefault="00000000" w:rsidRPr="00000000" w14:paraId="0000000C">
      <w:pPr>
        <w:rPr>
          <w:color w:val="1f1f1f"/>
        </w:rPr>
      </w:pPr>
      <w:r w:rsidDel="00000000" w:rsidR="00000000" w:rsidRPr="00000000">
        <w:rPr>
          <w:color w:val="1f1f1f"/>
          <w:rtl w:val="0"/>
        </w:rPr>
        <w:t xml:space="preserve"> </w:t>
      </w:r>
    </w:p>
    <w:p w:rsidR="00000000" w:rsidDel="00000000" w:rsidP="00000000" w:rsidRDefault="00000000" w:rsidRPr="00000000" w14:paraId="0000000D">
      <w:pPr>
        <w:rPr>
          <w:color w:val="1f1f1f"/>
        </w:rPr>
      </w:pPr>
      <w:r w:rsidDel="00000000" w:rsidR="00000000" w:rsidRPr="00000000">
        <w:rPr>
          <w:rtl w:val="0"/>
        </w:rPr>
        <w:t xml:space="preserve">For each selected sub-watershed, we will determine a baseline condition against which adaptation needs will be measured. Baseline conditions will be analyzed by using existing datasets to assess trends in precipitation, temperature, and sea levels and other environmental changes and by examining any existing vulnerability assessments and adaptation plans or similar products. Adaptation needs will be conveyed by local governments and stakeholders, and could include, but are not limited to, addressing issues around coastal and inland flooding, shoreline erosion, droughts or war</w:t>
      </w:r>
      <w:r w:rsidDel="00000000" w:rsidR="00000000" w:rsidRPr="00000000">
        <w:rPr>
          <w:color w:val="1f1f1f"/>
          <w:rtl w:val="0"/>
        </w:rPr>
        <w:t xml:space="preserve">ming temperatures, habitat loss, invasive species, or other issues of local concern. If such information does not exist, the workgroup will support activities to empower jurisdictions and communities to develop the needed information.</w:t>
        <w:tab/>
      </w:r>
    </w:p>
    <w:p w:rsidR="00000000" w:rsidDel="00000000" w:rsidP="00000000" w:rsidRDefault="00000000" w:rsidRPr="00000000" w14:paraId="0000000E">
      <w:pPr>
        <w:rPr>
          <w:color w:val="1f1f1f"/>
        </w:rPr>
      </w:pPr>
      <w:r w:rsidDel="00000000" w:rsidR="00000000" w:rsidRPr="00000000">
        <w:rPr>
          <w:color w:val="1f1f1f"/>
          <w:rtl w:val="0"/>
        </w:rPr>
        <w:t xml:space="preserve"> </w:t>
      </w:r>
    </w:p>
    <w:p w:rsidR="00000000" w:rsidDel="00000000" w:rsidP="00000000" w:rsidRDefault="00000000" w:rsidRPr="00000000" w14:paraId="0000000F">
      <w:pPr>
        <w:rPr/>
      </w:pPr>
      <w:r w:rsidDel="00000000" w:rsidR="00000000" w:rsidRPr="00000000">
        <w:rPr>
          <w:color w:val="1f1f1f"/>
          <w:rtl w:val="0"/>
        </w:rPr>
        <w:t xml:space="preserve">Ultimately, the baseline will be defined by the current capacity of localities within a sub-watershed to understand climate impacts and develop solutions to address climate adaptation needs, policies and funding. </w:t>
      </w:r>
      <w:r w:rsidDel="00000000" w:rsidR="00000000" w:rsidRPr="00000000">
        <w:rPr>
          <w:rtl w:val="0"/>
        </w:rPr>
        <w:t xml:space="preserve">The workgroup, in coordination with signatories, will develop an inventory of candidate sub-watersheds and categorize current conditions based on land use, landscape geography, and the specific environmental stressors related to the adaptation needs within the sub-watershed and capacity to implement solutions. This information would be used to establish baselines at the watershed-scale and inform us where additional capacity-building is needed. Capacity to implement solutions includes connecting various partners, funding sources, and technical assistance that improves the likelihood of an increase in the implementation of adaptation options.</w:t>
      </w:r>
    </w:p>
    <w:p w:rsidR="00000000" w:rsidDel="00000000" w:rsidP="00000000" w:rsidRDefault="00000000" w:rsidRPr="00000000" w14:paraId="00000010">
      <w:pPr>
        <w:rPr>
          <w:sz w:val="24"/>
          <w:szCs w:val="24"/>
        </w:rPr>
      </w:pPr>
      <w:r w:rsidDel="00000000" w:rsidR="00000000" w:rsidRPr="00000000">
        <w:rPr>
          <w:sz w:val="24"/>
          <w:szCs w:val="24"/>
          <w:rtl w:val="0"/>
        </w:rPr>
        <w:t xml:space="preserve"> </w:t>
      </w:r>
    </w:p>
    <w:p w:rsidR="00000000" w:rsidDel="00000000" w:rsidP="00000000" w:rsidRDefault="00000000" w:rsidRPr="00000000" w14:paraId="00000011">
      <w:pPr>
        <w:rPr>
          <w:b w:val="1"/>
          <w:bCs w:val="1"/>
          <w:sz w:val="24"/>
          <w:szCs w:val="24"/>
        </w:rPr>
      </w:pPr>
      <w:r w:rsidDel="00000000" w:rsidR="00000000" w:rsidRPr="00000000">
        <w:rPr>
          <w:b w:val="1"/>
          <w:bCs w:val="1"/>
          <w:sz w:val="24"/>
          <w:szCs w:val="24"/>
          <w:rtl w:val="0"/>
        </w:rPr>
        <w:t xml:space="preserve">Monitoring Progress and Indicators</w:t>
      </w:r>
    </w:p>
    <w:p w:rsidR="00000000" w:rsidDel="00000000" w:rsidP="00000000" w:rsidRDefault="00000000" w:rsidRPr="00000000" w14:paraId="00000012">
      <w:pPr>
        <w:rPr>
          <w:sz w:val="24"/>
          <w:szCs w:val="24"/>
        </w:rPr>
      </w:pPr>
      <w:r w:rsidDel="00000000" w:rsidR="00000000" w:rsidRPr="00000000">
        <w:rPr>
          <w:sz w:val="24"/>
          <w:szCs w:val="24"/>
          <w:rtl w:val="0"/>
        </w:rPr>
        <w:t xml:space="preserve"> </w:t>
      </w:r>
    </w:p>
    <w:p w:rsidR="00000000" w:rsidDel="00000000" w:rsidP="00000000" w:rsidRDefault="00000000" w:rsidRPr="00000000" w14:paraId="00000013">
      <w:pPr>
        <w:rPr>
          <w:color w:val="1f1f1f"/>
        </w:rPr>
      </w:pPr>
      <w:r w:rsidDel="00000000" w:rsidR="00000000" w:rsidRPr="00000000">
        <w:rPr>
          <w:color w:val="1f1f1f"/>
          <w:rtl w:val="0"/>
        </w:rPr>
        <w:t xml:space="preserve">The previous adaptation outcome did not have any quantitative indicators. Instead, progress was assessed qualitatively based on collaborative projects being supported by the workgroup participants. Moving forward, the group will be evaluating options for quantitative indicators to track progress on the outcome. This outcome and its targets are unique in that they depend on the integration of stakeholder feedback on adaptation needs in the sub-watershed area. Collaboration and strategic networking will be key in monitoring progress.</w:t>
      </w:r>
    </w:p>
    <w:p w:rsidR="00000000" w:rsidDel="00000000" w:rsidP="00000000" w:rsidRDefault="00000000" w:rsidRPr="00000000" w14:paraId="00000014">
      <w:pPr>
        <w:rPr>
          <w:color w:val="1f1f1f"/>
        </w:rPr>
      </w:pPr>
      <w:r w:rsidDel="00000000" w:rsidR="00000000" w:rsidRPr="00000000">
        <w:rPr>
          <w:color w:val="1f1f1f"/>
          <w:rtl w:val="0"/>
        </w:rPr>
        <w:t xml:space="preserve"> </w:t>
      </w:r>
    </w:p>
    <w:p w:rsidR="00000000" w:rsidDel="00000000" w:rsidP="00000000" w:rsidRDefault="00000000" w:rsidRPr="00000000" w14:paraId="00000015">
      <w:pPr>
        <w:rPr>
          <w:color w:val="1f1f1f"/>
        </w:rPr>
      </w:pPr>
      <w:r w:rsidDel="00000000" w:rsidR="00000000" w:rsidRPr="00000000">
        <w:rPr>
          <w:color w:val="1f1f1f"/>
          <w:rtl w:val="0"/>
        </w:rPr>
        <w:t xml:space="preserve">To move forward in identifying and implementing appropriate adaptation strategies, including NbS and other resilience activities, we plan to take an adaptation planning-to-implementation pipeline approach where the workgroup will collaborate with local and regional partnerships presiding or working within a sub-watershed to share and deliver data and tools, assess adaptation needs, connect groups with adaptation best practices, and implement other knowledge sharing activities, such as workshops to address specific adaptation challenges. These activities will aid groups in the sub-watershed area in advancing their use of NbS and other resilience activities where they are in the process. For instance, some areas may already have in-depth vulnerability assessments and have identified adaptation strategies but need improved information to support design and implementation. Others may be starting at an initial concept and need guidance on which adaptation strategies to consider. </w:t>
      </w:r>
    </w:p>
    <w:p w:rsidR="00000000" w:rsidDel="00000000" w:rsidP="00000000" w:rsidRDefault="00000000" w:rsidRPr="00000000" w14:paraId="00000016">
      <w:pPr>
        <w:rPr>
          <w:color w:val="1f1f1f"/>
        </w:rPr>
      </w:pPr>
      <w:r w:rsidDel="00000000" w:rsidR="00000000" w:rsidRPr="00000000">
        <w:rPr>
          <w:color w:val="1f1f1f"/>
          <w:rtl w:val="0"/>
        </w:rPr>
        <w:t xml:space="preserve"> </w:t>
      </w:r>
    </w:p>
    <w:p w:rsidR="00000000" w:rsidDel="00000000" w:rsidP="00000000" w:rsidRDefault="00000000" w:rsidRPr="00000000" w14:paraId="00000017">
      <w:pPr>
        <w:rPr>
          <w:color w:val="1f1f1f"/>
        </w:rPr>
      </w:pPr>
      <w:r w:rsidDel="00000000" w:rsidR="00000000" w:rsidRPr="00000000">
        <w:rPr>
          <w:color w:val="1f1f1f"/>
          <w:rtl w:val="0"/>
        </w:rPr>
        <w:t xml:space="preserve">The adaptation planning-to-implementation pipeline could vary depending on the jurisdiction’s policies and resources. Flexibility will be key to work where local and regional partners are in the process and provide technical assistance where needed. Examples of activities that the workgroup could support to empower local and regional groups with their adaptation needs include:</w:t>
      </w:r>
    </w:p>
    <w:p w:rsidR="00000000" w:rsidDel="00000000" w:rsidP="00000000" w:rsidRDefault="00000000" w:rsidRPr="00000000" w14:paraId="00000018">
      <w:pPr>
        <w:ind w:left="1008" w:hanging="648"/>
        <w:rPr>
          <w:color w:val="1f1f1f"/>
        </w:rPr>
      </w:pPr>
      <w:r w:rsidDel="00000000" w:rsidR="00000000" w:rsidRPr="00000000">
        <w:rPr>
          <w:color w:val="1f1f1f"/>
          <w:rtl w:val="0"/>
        </w:rPr>
        <w:t xml:space="preserve">●</w:t>
      </w:r>
      <w:r w:rsidDel="00000000" w:rsidR="00000000" w:rsidRPr="00000000">
        <w:rPr>
          <w:rFonts w:ascii="Times New Roman" w:cs="Times New Roman" w:eastAsia="Times New Roman" w:hAnsi="Times New Roman"/>
          <w:color w:val="1f1f1f"/>
          <w:sz w:val="14"/>
          <w:szCs w:val="14"/>
          <w:rtl w:val="0"/>
        </w:rPr>
        <w:t xml:space="preserve">      </w:t>
        <w:tab/>
      </w:r>
      <w:r w:rsidDel="00000000" w:rsidR="00000000" w:rsidRPr="00000000">
        <w:rPr>
          <w:color w:val="1f1f1f"/>
          <w:rtl w:val="0"/>
        </w:rPr>
        <w:t xml:space="preserve">Connecting partners with existing datasets and data tools to aid in their vulnerability assessments,</w:t>
      </w:r>
    </w:p>
    <w:p w:rsidR="00000000" w:rsidDel="00000000" w:rsidP="00000000" w:rsidRDefault="00000000" w:rsidRPr="00000000" w14:paraId="00000019">
      <w:pPr>
        <w:ind w:left="1008" w:hanging="648"/>
        <w:rPr>
          <w:color w:val="1f1f1f"/>
        </w:rPr>
      </w:pPr>
      <w:r w:rsidDel="00000000" w:rsidR="00000000" w:rsidRPr="00000000">
        <w:rPr>
          <w:color w:val="1f1f1f"/>
          <w:rtl w:val="0"/>
        </w:rPr>
        <w:t xml:space="preserve">●</w:t>
      </w:r>
      <w:r w:rsidDel="00000000" w:rsidR="00000000" w:rsidRPr="00000000">
        <w:rPr>
          <w:rFonts w:ascii="Times New Roman" w:cs="Times New Roman" w:eastAsia="Times New Roman" w:hAnsi="Times New Roman"/>
          <w:color w:val="1f1f1f"/>
          <w:sz w:val="14"/>
          <w:szCs w:val="14"/>
          <w:rtl w:val="0"/>
        </w:rPr>
        <w:t xml:space="preserve">  </w:t>
        <w:tab/>
      </w:r>
      <w:r w:rsidDel="00000000" w:rsidR="00000000" w:rsidRPr="00000000">
        <w:rPr>
          <w:color w:val="1f1f1f"/>
          <w:rtl w:val="0"/>
        </w:rPr>
        <w:t xml:space="preserve">Identifying innovative NbS strategies or hybrid green-gray infrastructure approaches that bolster multiple benefits (e.g. hazard mitigation, water quality improvements, habitat provision, outdoor recreation, etc.) for implementing groups to consider in their adaptation planning,</w:t>
      </w:r>
    </w:p>
    <w:p w:rsidR="00000000" w:rsidDel="00000000" w:rsidP="00000000" w:rsidRDefault="00000000" w:rsidRPr="00000000" w14:paraId="0000001A">
      <w:pPr>
        <w:ind w:left="1008" w:hanging="648"/>
        <w:rPr>
          <w:color w:val="1f1f1f"/>
        </w:rPr>
      </w:pPr>
      <w:r w:rsidDel="00000000" w:rsidR="00000000" w:rsidRPr="00000000">
        <w:rPr>
          <w:color w:val="1f1f1f"/>
          <w:rtl w:val="0"/>
        </w:rPr>
        <w:t xml:space="preserve">●</w:t>
      </w:r>
      <w:r w:rsidDel="00000000" w:rsidR="00000000" w:rsidRPr="00000000">
        <w:rPr>
          <w:rFonts w:ascii="Times New Roman" w:cs="Times New Roman" w:eastAsia="Times New Roman" w:hAnsi="Times New Roman"/>
          <w:color w:val="1f1f1f"/>
          <w:sz w:val="14"/>
          <w:szCs w:val="14"/>
          <w:rtl w:val="0"/>
        </w:rPr>
        <w:t xml:space="preserve">  </w:t>
        <w:tab/>
      </w:r>
      <w:r w:rsidDel="00000000" w:rsidR="00000000" w:rsidRPr="00000000">
        <w:rPr>
          <w:color w:val="1f1f1f"/>
          <w:rtl w:val="0"/>
        </w:rPr>
        <w:t xml:space="preserve">Producing best practices on pre-project and post-project monitoring to assist in efforts to assess and track resilience progress and performance,</w:t>
      </w:r>
    </w:p>
    <w:p w:rsidR="00000000" w:rsidDel="00000000" w:rsidP="00000000" w:rsidRDefault="00000000" w:rsidRPr="00000000" w14:paraId="0000001B">
      <w:pPr>
        <w:ind w:left="1008" w:hanging="648"/>
        <w:rPr>
          <w:color w:val="1f1f1f"/>
        </w:rPr>
      </w:pPr>
      <w:r w:rsidDel="00000000" w:rsidR="00000000" w:rsidRPr="00000000">
        <w:rPr>
          <w:color w:val="1f1f1f"/>
          <w:rtl w:val="0"/>
        </w:rPr>
        <w:t xml:space="preserve">●</w:t>
      </w:r>
      <w:r w:rsidDel="00000000" w:rsidR="00000000" w:rsidRPr="00000000">
        <w:rPr>
          <w:rFonts w:ascii="Times New Roman" w:cs="Times New Roman" w:eastAsia="Times New Roman" w:hAnsi="Times New Roman"/>
          <w:color w:val="1f1f1f"/>
          <w:sz w:val="14"/>
          <w:szCs w:val="14"/>
          <w:rtl w:val="0"/>
        </w:rPr>
        <w:t xml:space="preserve">  </w:t>
        <w:tab/>
      </w:r>
      <w:r w:rsidDel="00000000" w:rsidR="00000000" w:rsidRPr="00000000">
        <w:rPr>
          <w:color w:val="1f1f1f"/>
          <w:rtl w:val="0"/>
        </w:rPr>
        <w:t xml:space="preserve">Aligning research with adaptation efforts to improve and standardize NbS approaches over time,</w:t>
      </w:r>
    </w:p>
    <w:p w:rsidR="00000000" w:rsidDel="00000000" w:rsidP="00000000" w:rsidRDefault="00000000" w:rsidRPr="00000000" w14:paraId="0000001C">
      <w:pPr>
        <w:ind w:left="1008" w:hanging="648"/>
        <w:rPr>
          <w:color w:val="1f1f1f"/>
        </w:rPr>
      </w:pPr>
      <w:r w:rsidDel="00000000" w:rsidR="00000000" w:rsidRPr="00000000">
        <w:rPr>
          <w:color w:val="1f1f1f"/>
          <w:rtl w:val="0"/>
        </w:rPr>
        <w:t xml:space="preserve">●</w:t>
      </w:r>
      <w:r w:rsidDel="00000000" w:rsidR="00000000" w:rsidRPr="00000000">
        <w:rPr>
          <w:rFonts w:ascii="Times New Roman" w:cs="Times New Roman" w:eastAsia="Times New Roman" w:hAnsi="Times New Roman"/>
          <w:color w:val="1f1f1f"/>
          <w:sz w:val="14"/>
          <w:szCs w:val="14"/>
          <w:rtl w:val="0"/>
        </w:rPr>
        <w:t xml:space="preserve">  </w:t>
        <w:tab/>
      </w:r>
      <w:r w:rsidDel="00000000" w:rsidR="00000000" w:rsidRPr="00000000">
        <w:rPr>
          <w:color w:val="1f1f1f"/>
          <w:rtl w:val="0"/>
        </w:rPr>
        <w:t xml:space="preserve">Translating project-level adaptation efforts to additive resilience and ecosystem services benefits across the sub-watershed, </w:t>
      </w:r>
    </w:p>
    <w:p w:rsidR="00000000" w:rsidDel="00000000" w:rsidP="00000000" w:rsidRDefault="00000000" w:rsidRPr="00000000" w14:paraId="0000001D">
      <w:pPr>
        <w:numPr>
          <w:ilvl w:val="0"/>
          <w:numId w:val="1"/>
        </w:numPr>
        <w:ind w:left="1008" w:hanging="648"/>
        <w:rPr>
          <w:color w:val="1f1f1f"/>
        </w:rPr>
      </w:pPr>
      <w:r w:rsidDel="00000000" w:rsidR="00000000" w:rsidRPr="00000000">
        <w:rPr>
          <w:color w:val="1f1f1f"/>
          <w:rtl w:val="0"/>
        </w:rPr>
        <w:t xml:space="preserve">Highlighting new and enabling policies and legislation from state or local jurisdictions, and </w:t>
      </w:r>
    </w:p>
    <w:p w:rsidR="00000000" w:rsidDel="00000000" w:rsidP="00000000" w:rsidRDefault="00000000" w:rsidRPr="00000000" w14:paraId="0000001E">
      <w:pPr>
        <w:ind w:left="1008" w:hanging="648"/>
        <w:rPr>
          <w:color w:val="1f1f1f"/>
        </w:rPr>
      </w:pPr>
      <w:r w:rsidDel="00000000" w:rsidR="00000000" w:rsidRPr="00000000">
        <w:rPr>
          <w:color w:val="1f1f1f"/>
          <w:rtl w:val="0"/>
        </w:rPr>
        <w:t xml:space="preserve">●</w:t>
      </w:r>
      <w:r w:rsidDel="00000000" w:rsidR="00000000" w:rsidRPr="00000000">
        <w:rPr>
          <w:rFonts w:ascii="Times New Roman" w:cs="Times New Roman" w:eastAsia="Times New Roman" w:hAnsi="Times New Roman"/>
          <w:color w:val="1f1f1f"/>
          <w:sz w:val="14"/>
          <w:szCs w:val="14"/>
          <w:rtl w:val="0"/>
        </w:rPr>
        <w:t xml:space="preserve">     </w:t>
        <w:tab/>
      </w:r>
      <w:r w:rsidDel="00000000" w:rsidR="00000000" w:rsidRPr="00000000">
        <w:rPr>
          <w:color w:val="1f1f1f"/>
          <w:rtl w:val="0"/>
        </w:rPr>
        <w:t xml:space="preserve">Identifying and sharing funding opportunities.</w:t>
      </w:r>
    </w:p>
    <w:p w:rsidR="00000000" w:rsidDel="00000000" w:rsidP="00000000" w:rsidRDefault="00000000" w:rsidRPr="00000000" w14:paraId="0000001F">
      <w:pPr>
        <w:rPr>
          <w:color w:val="1f1f1f"/>
        </w:rPr>
      </w:pPr>
      <w:r w:rsidDel="00000000" w:rsidR="00000000" w:rsidRPr="00000000">
        <w:rPr>
          <w:color w:val="1f1f1f"/>
          <w:rtl w:val="0"/>
        </w:rPr>
        <w:t xml:space="preserve"> </w:t>
      </w:r>
    </w:p>
    <w:p w:rsidR="00000000" w:rsidDel="00000000" w:rsidP="00000000" w:rsidRDefault="00000000" w:rsidRPr="00000000" w14:paraId="00000020">
      <w:pPr>
        <w:rPr>
          <w:color w:val="1f1f1f"/>
        </w:rPr>
      </w:pPr>
      <w:r w:rsidDel="00000000" w:rsidR="00000000" w:rsidRPr="00000000">
        <w:rPr>
          <w:rtl w:val="0"/>
        </w:rPr>
        <w:t xml:space="preserve">Progress will be measured based on the adaptation activities occurring in the sub-watersheds, building up to a minimum of seven sub-watersheds supported by 2040. </w:t>
      </w:r>
      <w:r w:rsidDel="00000000" w:rsidR="00000000" w:rsidRPr="00000000">
        <w:rPr>
          <w:color w:val="1f1f1f"/>
          <w:rtl w:val="0"/>
        </w:rPr>
        <w:t xml:space="preserve">Tracking progress would encompass documenting the workgroup’s and participating partners' evolution through the adaptation planning-to-implementation pipeline across the selected sub-watersheds. </w:t>
      </w:r>
      <w:r w:rsidDel="00000000" w:rsidR="00000000" w:rsidRPr="00000000">
        <w:rPr>
          <w:rtl w:val="0"/>
        </w:rPr>
        <w:t xml:space="preserve">The workgroup envisions direct involvement with knowledge-sharing and technical assistance activities under Target 1 with the goal that these activities would lead to an increase of identified adaptation options under Target 2 by participating organizations through strategic networking efforts. Tracking Target 2 will depend on developing reporting mechanisms with the participating partners. </w:t>
      </w:r>
      <w:r w:rsidDel="00000000" w:rsidR="00000000" w:rsidRPr="00000000">
        <w:rPr>
          <w:color w:val="1f1f1f"/>
          <w:rtl w:val="0"/>
        </w:rPr>
        <w:t xml:space="preserve"> </w:t>
      </w:r>
    </w:p>
    <w:p w:rsidR="00000000" w:rsidDel="00000000" w:rsidP="00000000" w:rsidRDefault="00000000" w:rsidRPr="00000000" w14:paraId="00000021">
      <w:pPr>
        <w:rPr>
          <w:color w:val="1f1f1f"/>
        </w:rPr>
      </w:pPr>
      <w:r w:rsidDel="00000000" w:rsidR="00000000" w:rsidRPr="00000000">
        <w:rPr>
          <w:color w:val="1f1f1f"/>
          <w:rtl w:val="0"/>
        </w:rPr>
        <w:t xml:space="preserve"> </w:t>
      </w:r>
    </w:p>
    <w:p w:rsidR="00000000" w:rsidDel="00000000" w:rsidP="00000000" w:rsidRDefault="00000000" w:rsidRPr="00000000" w14:paraId="00000022">
      <w:pPr>
        <w:rPr>
          <w:color w:val="1f1f1f"/>
        </w:rPr>
      </w:pPr>
      <w:r w:rsidDel="00000000" w:rsidR="00000000" w:rsidRPr="00000000">
        <w:rPr>
          <w:color w:val="1f1f1f"/>
          <w:rtl w:val="0"/>
        </w:rPr>
        <w:t xml:space="preserve">Future indicators will demonstrate progress made by sub-watersheds on the adaptation planning-to-implementation pipeline. We aim to develop </w:t>
      </w:r>
      <w:r w:rsidDel="00000000" w:rsidR="00000000" w:rsidRPr="00000000">
        <w:rPr>
          <w:rtl w:val="0"/>
        </w:rPr>
        <w:t xml:space="preserve">"capacity-building" indicators to track progress. These could include the integration of resilience strategies into local comprehensive plans, the number of successful grant proposals submitted for projects, and the establishment of local policies/ordinances.</w:t>
      </w:r>
      <w:r w:rsidDel="00000000" w:rsidR="00000000" w:rsidRPr="00000000">
        <w:rPr>
          <w:color w:val="1f1f1f"/>
          <w:rtl w:val="0"/>
        </w:rPr>
        <w:t xml:space="preserve"> Additionally, the workgroup aims to support activities to quantify the additive benefits across implementing NbS and other resilience activities for prioritized endpoints (e.g., reduced flooding damage, resilient habitat, reduced erosion, etc.). These will depend on the adaptation needs identified in the sub-watershed area. The workgroup will also explore engagement metrics, including an endpoint metric that indicates when a sub-watershed network is self-sufficient in advancing their adaptation pipeline.</w:t>
      </w:r>
    </w:p>
    <w:p w:rsidR="00000000" w:rsidDel="00000000" w:rsidP="00000000" w:rsidRDefault="00000000" w:rsidRPr="00000000" w14:paraId="00000023">
      <w:pPr>
        <w:rPr>
          <w:color w:val="1f1f1f"/>
        </w:rPr>
      </w:pPr>
      <w:r w:rsidDel="00000000" w:rsidR="00000000" w:rsidRPr="00000000">
        <w:rPr>
          <w:color w:val="1f1f1f"/>
          <w:rtl w:val="0"/>
        </w:rPr>
        <w:t xml:space="preserve"> </w:t>
      </w:r>
    </w:p>
    <w:p w:rsidR="00000000" w:rsidDel="00000000" w:rsidP="00000000" w:rsidRDefault="00000000" w:rsidRPr="00000000" w14:paraId="00000024">
      <w:pPr>
        <w:rPr>
          <w:color w:val="1f1f1f"/>
        </w:rPr>
      </w:pPr>
      <w:r w:rsidDel="00000000" w:rsidR="00000000" w:rsidRPr="00000000">
        <w:rPr>
          <w:color w:val="1f1f1f"/>
          <w:rtl w:val="0"/>
        </w:rPr>
        <w:t xml:space="preserve"> </w:t>
      </w:r>
    </w:p>
    <w:p w:rsidR="00000000" w:rsidDel="00000000" w:rsidP="00000000" w:rsidRDefault="00000000" w:rsidRPr="00000000" w14:paraId="00000025">
      <w:pPr>
        <w:rPr>
          <w:b w:val="1"/>
          <w:bCs w:val="1"/>
          <w:sz w:val="24"/>
          <w:szCs w:val="24"/>
        </w:rPr>
      </w:pPr>
      <w:r w:rsidDel="00000000" w:rsidR="00000000" w:rsidRPr="00000000">
        <w:rPr>
          <w:b w:val="1"/>
          <w:bCs w:val="1"/>
          <w:sz w:val="24"/>
          <w:szCs w:val="24"/>
          <w:rtl w:val="0"/>
        </w:rPr>
        <w:t xml:space="preserve">Adapting to Changing Environmental Conditions Situation Analysis</w:t>
      </w:r>
    </w:p>
    <w:p w:rsidR="00000000" w:rsidDel="00000000" w:rsidP="00000000" w:rsidRDefault="00000000" w:rsidRPr="00000000" w14:paraId="00000026">
      <w:pPr>
        <w:rPr>
          <w:sz w:val="24"/>
          <w:szCs w:val="24"/>
        </w:rPr>
      </w:pPr>
      <w:r w:rsidDel="00000000" w:rsidR="00000000" w:rsidRPr="00000000">
        <w:rPr>
          <w:sz w:val="24"/>
          <w:szCs w:val="24"/>
          <w:rtl w:val="0"/>
        </w:rPr>
        <w:t xml:space="preserve"> </w:t>
      </w:r>
    </w:p>
    <w:p w:rsidR="00000000" w:rsidDel="00000000" w:rsidP="00000000" w:rsidRDefault="00000000" w:rsidRPr="00000000" w14:paraId="00000027">
      <w:pPr>
        <w:rPr>
          <w:color w:val="1f1f1f"/>
        </w:rPr>
      </w:pPr>
      <w:r w:rsidDel="00000000" w:rsidR="00000000" w:rsidRPr="00000000">
        <w:rPr>
          <w:color w:val="1f1f1f"/>
          <w:rtl w:val="0"/>
        </w:rPr>
        <w:t xml:space="preserve">The following table identifies challenges that will impact progress towards attaining this outcome and its targets over the upcoming six-year Management Strategy cycle. Priority challenges identified by the Goal Team are shown in </w:t>
      </w:r>
      <w:r w:rsidDel="00000000" w:rsidR="00000000" w:rsidRPr="00000000">
        <w:rPr>
          <w:b w:val="1"/>
          <w:bCs w:val="1"/>
          <w:color w:val="1f1f1f"/>
          <w:rtl w:val="0"/>
        </w:rPr>
        <w:t xml:space="preserve">bold</w:t>
      </w:r>
      <w:r w:rsidDel="00000000" w:rsidR="00000000" w:rsidRPr="00000000">
        <w:rPr>
          <w:color w:val="1f1f1f"/>
          <w:rtl w:val="0"/>
        </w:rPr>
        <w:t xml:space="preserve">. Challenges associated with Changing Environmental Conditions are denoted with an asterisk (*). In some instances, the workgroup’s ability to act will depend on the financial resources available.</w:t>
      </w:r>
    </w:p>
    <w:p w:rsidR="00000000" w:rsidDel="00000000" w:rsidP="00000000" w:rsidRDefault="00000000" w:rsidRPr="00000000" w14:paraId="00000028">
      <w:pPr>
        <w:rPr>
          <w:sz w:val="24"/>
          <w:szCs w:val="24"/>
        </w:rPr>
      </w:pPr>
      <w:r w:rsidDel="00000000" w:rsidR="00000000" w:rsidRPr="00000000">
        <w:rPr>
          <w:sz w:val="24"/>
          <w:szCs w:val="24"/>
          <w:rtl w:val="0"/>
        </w:rPr>
        <w:t xml:space="preserve"> </w:t>
      </w:r>
    </w:p>
    <w:p w:rsidR="00000000" w:rsidDel="00000000" w:rsidP="00000000" w:rsidRDefault="00000000" w:rsidRPr="00000000" w14:paraId="00000029">
      <w:pPr>
        <w:rPr/>
      </w:pPr>
      <w:r w:rsidDel="00000000" w:rsidR="00000000" w:rsidRPr="00000000">
        <w:rPr>
          <w:rtl w:val="0"/>
        </w:rPr>
        <w:t xml:space="preserve"> </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25"/>
        <w:gridCol w:w="1560"/>
        <w:gridCol w:w="1440"/>
        <w:gridCol w:w="1635"/>
        <w:tblGridChange w:id="0">
          <w:tblGrid>
            <w:gridCol w:w="4725"/>
            <w:gridCol w:w="1560"/>
            <w:gridCol w:w="1440"/>
            <w:gridCol w:w="1635"/>
          </w:tblGrid>
        </w:tblGridChange>
      </w:tblGrid>
      <w:tr>
        <w:trPr>
          <w:cantSplit w:val="1"/>
          <w:trHeight w:val="7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02A">
            <w:pPr>
              <w:spacing w:after="140" w:before="140" w:line="240" w:lineRule="auto"/>
              <w:rPr>
                <w:b w:val="1"/>
                <w:bCs w:val="1"/>
                <w:sz w:val="20"/>
                <w:szCs w:val="20"/>
              </w:rPr>
            </w:pPr>
            <w:r w:rsidDel="00000000" w:rsidR="00000000" w:rsidRPr="00000000">
              <w:rPr>
                <w:b w:val="1"/>
                <w:bCs w:val="1"/>
                <w:sz w:val="20"/>
                <w:szCs w:val="20"/>
                <w:rtl w:val="0"/>
              </w:rPr>
              <w:t xml:space="preserve">Challenges</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02B">
            <w:pPr>
              <w:spacing w:after="140" w:before="140" w:line="240" w:lineRule="auto"/>
              <w:rPr>
                <w:b w:val="1"/>
                <w:bCs w:val="1"/>
                <w:sz w:val="20"/>
                <w:szCs w:val="20"/>
              </w:rPr>
            </w:pPr>
            <w:r w:rsidDel="00000000" w:rsidR="00000000" w:rsidRPr="00000000">
              <w:rPr>
                <w:b w:val="1"/>
                <w:bCs w:val="1"/>
                <w:sz w:val="20"/>
                <w:szCs w:val="20"/>
                <w:rtl w:val="0"/>
              </w:rPr>
              <w:t xml:space="preserve">Within CBPs ability to influence</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02C">
            <w:pPr>
              <w:spacing w:after="140" w:before="140" w:line="240" w:lineRule="auto"/>
              <w:rPr>
                <w:b w:val="1"/>
                <w:bCs w:val="1"/>
                <w:sz w:val="20"/>
                <w:szCs w:val="20"/>
              </w:rPr>
            </w:pPr>
            <w:r w:rsidDel="00000000" w:rsidR="00000000" w:rsidRPr="00000000">
              <w:rPr>
                <w:b w:val="1"/>
                <w:bCs w:val="1"/>
                <w:sz w:val="20"/>
                <w:szCs w:val="20"/>
                <w:rtl w:val="0"/>
              </w:rPr>
              <w:t xml:space="preserve">Within CBPs ability to act</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02D">
            <w:pPr>
              <w:spacing w:after="140" w:before="140" w:line="240" w:lineRule="auto"/>
              <w:rPr>
                <w:b w:val="1"/>
                <w:bCs w:val="1"/>
                <w:sz w:val="20"/>
                <w:szCs w:val="20"/>
              </w:rPr>
            </w:pPr>
            <w:r w:rsidDel="00000000" w:rsidR="00000000" w:rsidRPr="00000000">
              <w:rPr>
                <w:b w:val="1"/>
                <w:bCs w:val="1"/>
                <w:sz w:val="20"/>
                <w:szCs w:val="20"/>
                <w:rtl w:val="0"/>
              </w:rPr>
              <w:t xml:space="preserve">Outside of CBP's ability to influence or act</w:t>
            </w:r>
          </w:p>
        </w:tc>
      </w:tr>
      <w:tr>
        <w:trPr>
          <w:cantSplit w:val="1"/>
          <w:trHeight w:val="909" w:hRule="atLeast"/>
          <w:tblHeader w:val="0"/>
        </w:trPr>
        <w:tc>
          <w:tcPr>
            <w:tcBorders>
              <w:top w:color="000000" w:space="0" w:sz="0" w:val="nil"/>
              <w:left w:color="000000" w:space="0" w:sz="6" w:val="single"/>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2E">
            <w:pPr>
              <w:widowControl w:val="0"/>
              <w:spacing w:line="240" w:lineRule="auto"/>
              <w:rPr>
                <w:b w:val="1"/>
                <w:bCs w:val="1"/>
                <w:sz w:val="20"/>
                <w:szCs w:val="20"/>
              </w:rPr>
            </w:pPr>
            <w:r w:rsidDel="00000000" w:rsidR="00000000" w:rsidRPr="00000000">
              <w:rPr>
                <w:b w:val="1"/>
                <w:bCs w:val="1"/>
                <w:sz w:val="20"/>
                <w:szCs w:val="20"/>
                <w:rtl w:val="0"/>
              </w:rPr>
              <w:t xml:space="preserve">Selecting which sub-watersheds to support that align with available expertise (operational for workgroup)</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2F">
            <w:pPr>
              <w:widowControl w:val="0"/>
              <w:spacing w:line="240"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30">
            <w:pPr>
              <w:widowControl w:val="0"/>
              <w:spacing w:line="240" w:lineRule="auto"/>
              <w:jc w:val="center"/>
              <w:rPr>
                <w:b w:val="1"/>
                <w:bCs w:val="1"/>
                <w:sz w:val="20"/>
                <w:szCs w:val="20"/>
              </w:rPr>
            </w:pPr>
            <w:r w:rsidDel="00000000" w:rsidR="00000000" w:rsidRPr="00000000">
              <w:rPr>
                <w:b w:val="1"/>
                <w:bCs w:val="1"/>
                <w:sz w:val="20"/>
                <w:szCs w:val="20"/>
                <w:rtl w:val="0"/>
              </w:rPr>
              <w:t xml:space="preserve">X</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31">
            <w:pPr>
              <w:widowControl w:val="0"/>
              <w:spacing w:line="240" w:lineRule="auto"/>
              <w:jc w:val="center"/>
              <w:rPr>
                <w:sz w:val="20"/>
                <w:szCs w:val="20"/>
              </w:rPr>
            </w:pPr>
            <w:r w:rsidDel="00000000" w:rsidR="00000000" w:rsidRPr="00000000">
              <w:rPr>
                <w:sz w:val="20"/>
                <w:szCs w:val="20"/>
                <w:rtl w:val="0"/>
              </w:rPr>
              <w:t xml:space="preserve"> </w:t>
            </w:r>
          </w:p>
        </w:tc>
      </w:tr>
      <w:tr>
        <w:trPr>
          <w:cantSplit w:val="1"/>
          <w:trHeight w:val="288" w:hRule="atLeast"/>
          <w:tblHeader w:val="0"/>
        </w:trPr>
        <w:tc>
          <w:tcPr>
            <w:tcBorders>
              <w:top w:color="000000" w:space="0" w:sz="0" w:val="nil"/>
              <w:left w:color="000000" w:space="0" w:sz="6" w:val="single"/>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32">
            <w:pPr>
              <w:spacing w:line="240" w:lineRule="auto"/>
              <w:rPr>
                <w:b w:val="1"/>
                <w:bCs w:val="1"/>
                <w:color w:val="1f1f1f"/>
                <w:sz w:val="20"/>
                <w:szCs w:val="20"/>
              </w:rPr>
            </w:pPr>
            <w:r w:rsidDel="00000000" w:rsidR="00000000" w:rsidRPr="00000000">
              <w:rPr>
                <w:b w:val="1"/>
                <w:bCs w:val="1"/>
                <w:color w:val="1f1f1f"/>
                <w:sz w:val="20"/>
                <w:szCs w:val="20"/>
                <w:rtl w:val="0"/>
              </w:rPr>
              <w:t xml:space="preserve">*Lack of quantitative adaptation metrics and indicators for evaluating long-term resilience enhancement.</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33">
            <w:pPr>
              <w:spacing w:line="240" w:lineRule="auto"/>
              <w:jc w:val="center"/>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34">
            <w:pPr>
              <w:spacing w:line="240" w:lineRule="auto"/>
              <w:jc w:val="center"/>
              <w:rPr>
                <w:b w:val="1"/>
                <w:bCs w:val="1"/>
                <w:sz w:val="20"/>
                <w:szCs w:val="20"/>
              </w:rPr>
            </w:pPr>
            <w:r w:rsidDel="00000000" w:rsidR="00000000" w:rsidRPr="00000000">
              <w:rPr>
                <w:b w:val="1"/>
                <w:bCs w:val="1"/>
                <w:sz w:val="20"/>
                <w:szCs w:val="20"/>
                <w:rtl w:val="0"/>
              </w:rPr>
              <w:t xml:space="preserve">X</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35">
            <w:pPr>
              <w:spacing w:line="240" w:lineRule="auto"/>
              <w:jc w:val="center"/>
              <w:rPr>
                <w:sz w:val="20"/>
                <w:szCs w:val="20"/>
              </w:rPr>
            </w:pPr>
            <w:r w:rsidDel="00000000" w:rsidR="00000000" w:rsidRPr="00000000">
              <w:rPr>
                <w:sz w:val="20"/>
                <w:szCs w:val="20"/>
                <w:rtl w:val="0"/>
              </w:rPr>
              <w:t xml:space="preserve"> </w:t>
            </w:r>
          </w:p>
        </w:tc>
      </w:tr>
      <w:tr>
        <w:trPr>
          <w:cantSplit w:val="1"/>
          <w:trHeight w:val="288" w:hRule="atLeast"/>
          <w:tblHeader w:val="0"/>
        </w:trPr>
        <w:tc>
          <w:tcPr>
            <w:tcBorders>
              <w:top w:color="000000" w:space="0" w:sz="0" w:val="nil"/>
              <w:left w:color="000000" w:space="0" w:sz="6" w:val="single"/>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36">
            <w:pPr>
              <w:spacing w:line="240" w:lineRule="auto"/>
              <w:rPr>
                <w:b w:val="1"/>
                <w:bCs w:val="1"/>
                <w:color w:val="1f1f1f"/>
                <w:sz w:val="20"/>
                <w:szCs w:val="20"/>
              </w:rPr>
            </w:pPr>
            <w:r w:rsidDel="00000000" w:rsidR="00000000" w:rsidRPr="00000000">
              <w:rPr>
                <w:b w:val="1"/>
                <w:bCs w:val="1"/>
                <w:sz w:val="20"/>
                <w:szCs w:val="20"/>
                <w:rtl w:val="0"/>
              </w:rPr>
              <w:t xml:space="preserve">*Lack of centralized adaptation strategies </w:t>
            </w:r>
            <w:r w:rsidDel="00000000" w:rsidR="00000000" w:rsidRPr="00000000">
              <w:rPr>
                <w:b w:val="1"/>
                <w:bCs w:val="1"/>
                <w:color w:val="1f1f1f"/>
                <w:sz w:val="20"/>
                <w:szCs w:val="20"/>
                <w:rtl w:val="0"/>
              </w:rPr>
              <w:t xml:space="preserve">project-tracking database</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37">
            <w:pPr>
              <w:spacing w:line="240"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38">
            <w:pPr>
              <w:spacing w:line="240" w:lineRule="auto"/>
              <w:jc w:val="center"/>
              <w:rPr>
                <w:b w:val="1"/>
                <w:bCs w:val="1"/>
                <w:sz w:val="20"/>
                <w:szCs w:val="20"/>
              </w:rPr>
            </w:pPr>
            <w:r w:rsidDel="00000000" w:rsidR="00000000" w:rsidRPr="00000000">
              <w:rPr>
                <w:b w:val="1"/>
                <w:bCs w:val="1"/>
                <w:sz w:val="20"/>
                <w:szCs w:val="20"/>
                <w:rtl w:val="0"/>
              </w:rPr>
              <w:t xml:space="preserve">X</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39">
            <w:pPr>
              <w:spacing w:line="240" w:lineRule="auto"/>
              <w:jc w:val="center"/>
              <w:rPr>
                <w:sz w:val="20"/>
                <w:szCs w:val="20"/>
              </w:rPr>
            </w:pPr>
            <w:r w:rsidDel="00000000" w:rsidR="00000000" w:rsidRPr="00000000">
              <w:rPr>
                <w:sz w:val="20"/>
                <w:szCs w:val="20"/>
                <w:rtl w:val="0"/>
              </w:rPr>
              <w:t xml:space="preserve"> </w:t>
            </w:r>
          </w:p>
        </w:tc>
      </w:tr>
      <w:tr>
        <w:trPr>
          <w:cantSplit w:val="1"/>
          <w:trHeight w:val="288" w:hRule="atLeast"/>
          <w:tblHeader w:val="0"/>
        </w:trPr>
        <w:tc>
          <w:tcPr>
            <w:tcBorders>
              <w:top w:color="000000" w:space="0" w:sz="0" w:val="nil"/>
              <w:left w:color="000000" w:space="0" w:sz="6" w:val="single"/>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3A">
            <w:pPr>
              <w:spacing w:line="240" w:lineRule="auto"/>
              <w:rPr>
                <w:b w:val="1"/>
                <w:bCs w:val="1"/>
                <w:color w:val="1f1f1f"/>
                <w:sz w:val="20"/>
                <w:szCs w:val="20"/>
              </w:rPr>
            </w:pPr>
            <w:r w:rsidDel="00000000" w:rsidR="00000000" w:rsidRPr="00000000">
              <w:rPr>
                <w:b w:val="1"/>
                <w:bCs w:val="1"/>
                <w:color w:val="1f1f1f"/>
                <w:sz w:val="20"/>
                <w:szCs w:val="20"/>
                <w:rtl w:val="0"/>
              </w:rPr>
              <w:t xml:space="preserve">*Regulatory and permitting challenges that stall innovative nature-based engineering solutions.</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3B">
            <w:pPr>
              <w:spacing w:line="240" w:lineRule="auto"/>
              <w:jc w:val="center"/>
              <w:rPr>
                <w:b w:val="1"/>
                <w:bCs w:val="1"/>
                <w:color w:val="1f1f1f"/>
                <w:sz w:val="20"/>
                <w:szCs w:val="20"/>
              </w:rPr>
            </w:pPr>
            <w:r w:rsidDel="00000000" w:rsidR="00000000" w:rsidRPr="00000000">
              <w:rPr>
                <w:b w:val="1"/>
                <w:bCs w:val="1"/>
                <w:color w:val="1f1f1f"/>
                <w:sz w:val="20"/>
                <w:szCs w:val="20"/>
                <w:rtl w:val="0"/>
              </w:rPr>
              <w:t xml:space="preserve">X</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3C">
            <w:pPr>
              <w:spacing w:line="240"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3D">
            <w:pPr>
              <w:spacing w:line="240" w:lineRule="auto"/>
              <w:jc w:val="center"/>
              <w:rPr>
                <w:sz w:val="20"/>
                <w:szCs w:val="20"/>
              </w:rPr>
            </w:pPr>
            <w:r w:rsidDel="00000000" w:rsidR="00000000" w:rsidRPr="00000000">
              <w:rPr>
                <w:sz w:val="20"/>
                <w:szCs w:val="20"/>
                <w:rtl w:val="0"/>
              </w:rPr>
              <w:t xml:space="preserve"> </w:t>
            </w:r>
          </w:p>
        </w:tc>
      </w:tr>
      <w:tr>
        <w:trPr>
          <w:cantSplit w:val="1"/>
          <w:trHeight w:val="288" w:hRule="atLeast"/>
          <w:tblHeader w:val="0"/>
        </w:trPr>
        <w:tc>
          <w:tcPr>
            <w:tcBorders>
              <w:top w:color="000000" w:space="0" w:sz="0" w:val="nil"/>
              <w:left w:color="000000" w:space="0" w:sz="6" w:val="single"/>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3E">
            <w:pPr>
              <w:spacing w:line="240" w:lineRule="auto"/>
              <w:rPr>
                <w:b w:val="1"/>
                <w:bCs w:val="1"/>
                <w:color w:val="1f1f1f"/>
                <w:sz w:val="20"/>
                <w:szCs w:val="20"/>
              </w:rPr>
            </w:pPr>
            <w:r w:rsidDel="00000000" w:rsidR="00000000" w:rsidRPr="00000000">
              <w:rPr>
                <w:b w:val="1"/>
                <w:bCs w:val="1"/>
                <w:color w:val="1f1f1f"/>
                <w:sz w:val="20"/>
                <w:szCs w:val="20"/>
                <w:rtl w:val="0"/>
              </w:rPr>
              <w:t xml:space="preserve">*Short-term horizon (under 5 years) of major resilience grants, which discourages long-term adaptation planning and monitoring of progress of desired adaptation end-points.</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3F">
            <w:pPr>
              <w:spacing w:line="240" w:lineRule="auto"/>
              <w:jc w:val="center"/>
              <w:rPr>
                <w:b w:val="1"/>
                <w:bCs w:val="1"/>
                <w:sz w:val="20"/>
                <w:szCs w:val="20"/>
              </w:rPr>
            </w:pPr>
            <w:r w:rsidDel="00000000" w:rsidR="00000000" w:rsidRPr="00000000">
              <w:rPr>
                <w:b w:val="1"/>
                <w:bCs w:val="1"/>
                <w:sz w:val="20"/>
                <w:szCs w:val="20"/>
                <w:rtl w:val="0"/>
              </w:rPr>
              <w:t xml:space="preserve">X</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40">
            <w:pPr>
              <w:spacing w:line="240"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41">
            <w:pPr>
              <w:spacing w:line="240" w:lineRule="auto"/>
              <w:jc w:val="center"/>
              <w:rPr>
                <w:sz w:val="20"/>
                <w:szCs w:val="20"/>
              </w:rPr>
            </w:pPr>
            <w:r w:rsidDel="00000000" w:rsidR="00000000" w:rsidRPr="00000000">
              <w:rPr>
                <w:sz w:val="20"/>
                <w:szCs w:val="20"/>
                <w:rtl w:val="0"/>
              </w:rPr>
              <w:t xml:space="preserve"> </w:t>
            </w:r>
          </w:p>
        </w:tc>
      </w:tr>
      <w:tr>
        <w:trPr>
          <w:cantSplit w:val="1"/>
          <w:trHeight w:val="720" w:hRule="atLeast"/>
          <w:tblHeader w:val="0"/>
        </w:trPr>
        <w:tc>
          <w:tcPr>
            <w:tcBorders>
              <w:top w:color="000000" w:space="0" w:sz="0" w:val="nil"/>
              <w:left w:color="000000" w:space="0" w:sz="6" w:val="single"/>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42">
            <w:pPr>
              <w:spacing w:line="240" w:lineRule="auto"/>
              <w:rPr>
                <w:b w:val="1"/>
                <w:bCs w:val="1"/>
                <w:color w:val="1f1f1f"/>
                <w:sz w:val="20"/>
                <w:szCs w:val="20"/>
              </w:rPr>
            </w:pPr>
            <w:r w:rsidDel="00000000" w:rsidR="00000000" w:rsidRPr="00000000">
              <w:rPr>
                <w:b w:val="1"/>
                <w:bCs w:val="1"/>
                <w:color w:val="1f1f1f"/>
                <w:sz w:val="20"/>
                <w:szCs w:val="20"/>
                <w:rtl w:val="0"/>
              </w:rPr>
              <w:t xml:space="preserve">*Lack of long-term datasets needed to better inform adaptation planning and design with NbS</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43">
            <w:pPr>
              <w:spacing w:line="240" w:lineRule="auto"/>
              <w:jc w:val="center"/>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44">
            <w:pPr>
              <w:spacing w:line="240" w:lineRule="auto"/>
              <w:jc w:val="center"/>
              <w:rPr>
                <w:b w:val="1"/>
                <w:bCs w:val="1"/>
                <w:color w:val="1f1f1f"/>
                <w:sz w:val="20"/>
                <w:szCs w:val="20"/>
              </w:rPr>
            </w:pPr>
            <w:r w:rsidDel="00000000" w:rsidR="00000000" w:rsidRPr="00000000">
              <w:rPr>
                <w:b w:val="1"/>
                <w:bCs w:val="1"/>
                <w:color w:val="1f1f1f"/>
                <w:sz w:val="20"/>
                <w:szCs w:val="20"/>
                <w:rtl w:val="0"/>
              </w:rPr>
              <w:t xml:space="preserve">X</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45">
            <w:pPr>
              <w:spacing w:line="240" w:lineRule="auto"/>
              <w:jc w:val="center"/>
              <w:rPr>
                <w:sz w:val="20"/>
                <w:szCs w:val="20"/>
              </w:rPr>
            </w:pPr>
            <w:r w:rsidDel="00000000" w:rsidR="00000000" w:rsidRPr="00000000">
              <w:rPr>
                <w:sz w:val="20"/>
                <w:szCs w:val="20"/>
                <w:rtl w:val="0"/>
              </w:rPr>
              <w:t xml:space="preserve"> </w:t>
            </w:r>
          </w:p>
        </w:tc>
      </w:tr>
      <w:tr>
        <w:trPr>
          <w:cantSplit w:val="1"/>
          <w:trHeight w:val="720" w:hRule="atLeast"/>
          <w:tblHeader w:val="0"/>
        </w:trPr>
        <w:tc>
          <w:tcPr>
            <w:tcBorders>
              <w:top w:color="000000" w:space="0" w:sz="0" w:val="nil"/>
              <w:left w:color="000000" w:space="0" w:sz="6" w:val="single"/>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46">
            <w:pPr>
              <w:spacing w:line="240" w:lineRule="auto"/>
              <w:rPr>
                <w:b w:val="1"/>
                <w:bCs w:val="1"/>
                <w:sz w:val="20"/>
                <w:szCs w:val="20"/>
              </w:rPr>
            </w:pPr>
            <w:r w:rsidDel="00000000" w:rsidR="00000000" w:rsidRPr="00000000">
              <w:rPr>
                <w:b w:val="1"/>
                <w:bCs w:val="1"/>
                <w:sz w:val="20"/>
                <w:szCs w:val="20"/>
                <w:rtl w:val="0"/>
              </w:rPr>
              <w:t xml:space="preserve">Limited operational capacity to support localized, “boots-on-the-ground” relationship-building</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47">
            <w:pPr>
              <w:spacing w:line="240" w:lineRule="auto"/>
              <w:jc w:val="center"/>
              <w:rPr>
                <w:b w:val="1"/>
                <w:bCs w:val="1"/>
                <w:color w:val="1f1f1f"/>
                <w:sz w:val="20"/>
                <w:szCs w:val="20"/>
              </w:rPr>
            </w:pPr>
            <w:r w:rsidDel="00000000" w:rsidR="00000000" w:rsidRPr="00000000">
              <w:rPr>
                <w:b w:val="1"/>
                <w:bCs w:val="1"/>
                <w:color w:val="1f1f1f"/>
                <w:sz w:val="20"/>
                <w:szCs w:val="20"/>
                <w:rtl w:val="0"/>
              </w:rPr>
              <w:t xml:space="preserve">X</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48">
            <w:pPr>
              <w:spacing w:line="240" w:lineRule="auto"/>
              <w:jc w:val="center"/>
              <w:rPr>
                <w:b w:val="1"/>
                <w:bCs w:val="1"/>
                <w:sz w:val="20"/>
                <w:szCs w:val="20"/>
              </w:rPr>
            </w:pPr>
            <w:r w:rsidDel="00000000" w:rsidR="00000000" w:rsidRPr="00000000">
              <w:rPr>
                <w:b w:val="1"/>
                <w:bCs w:val="1"/>
                <w:sz w:val="20"/>
                <w:szCs w:val="20"/>
                <w:rtl w:val="0"/>
              </w:rPr>
              <w:t xml:space="preserve">X</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49">
            <w:pPr>
              <w:spacing w:line="240" w:lineRule="auto"/>
              <w:jc w:val="center"/>
              <w:rPr>
                <w:sz w:val="20"/>
                <w:szCs w:val="20"/>
              </w:rPr>
            </w:pPr>
            <w:r w:rsidDel="00000000" w:rsidR="00000000" w:rsidRPr="00000000">
              <w:rPr>
                <w:sz w:val="20"/>
                <w:szCs w:val="20"/>
                <w:rtl w:val="0"/>
              </w:rPr>
              <w:t xml:space="preserve"> </w:t>
            </w:r>
          </w:p>
        </w:tc>
      </w:tr>
      <w:tr>
        <w:trPr>
          <w:cantSplit w:val="1"/>
          <w:trHeight w:val="720" w:hRule="atLeast"/>
          <w:tblHeader w:val="0"/>
        </w:trPr>
        <w:tc>
          <w:tcPr>
            <w:tcBorders>
              <w:top w:color="000000" w:space="0" w:sz="0" w:val="nil"/>
              <w:left w:color="000000" w:space="0" w:sz="6" w:val="single"/>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4A">
            <w:pPr>
              <w:spacing w:line="240" w:lineRule="auto"/>
              <w:rPr>
                <w:b w:val="1"/>
                <w:bCs w:val="1"/>
                <w:color w:val="1f1f1f"/>
                <w:sz w:val="20"/>
                <w:szCs w:val="20"/>
              </w:rPr>
            </w:pPr>
            <w:r w:rsidDel="00000000" w:rsidR="00000000" w:rsidRPr="00000000">
              <w:rPr>
                <w:b w:val="1"/>
                <w:bCs w:val="1"/>
                <w:color w:val="1f1f1f"/>
                <w:sz w:val="20"/>
                <w:szCs w:val="20"/>
                <w:rtl w:val="0"/>
              </w:rPr>
              <w:t xml:space="preserve">Limited technical capacity of local governments to draft complex, competitive federal grant proposals</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4B">
            <w:pPr>
              <w:spacing w:line="240" w:lineRule="auto"/>
              <w:jc w:val="center"/>
              <w:rPr>
                <w:b w:val="1"/>
                <w:bCs w:val="1"/>
                <w:color w:val="1f1f1f"/>
                <w:sz w:val="20"/>
                <w:szCs w:val="20"/>
              </w:rPr>
            </w:pPr>
            <w:r w:rsidDel="00000000" w:rsidR="00000000" w:rsidRPr="00000000">
              <w:rPr>
                <w:b w:val="1"/>
                <w:bCs w:val="1"/>
                <w:color w:val="1f1f1f"/>
                <w:sz w:val="20"/>
                <w:szCs w:val="20"/>
                <w:rtl w:val="0"/>
              </w:rPr>
              <w:t xml:space="preserve">X</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4C">
            <w:pPr>
              <w:spacing w:line="240" w:lineRule="auto"/>
              <w:jc w:val="center"/>
              <w:rPr>
                <w:b w:val="1"/>
                <w:bCs w:val="1"/>
                <w:sz w:val="20"/>
                <w:szCs w:val="20"/>
              </w:rPr>
            </w:pPr>
            <w:r w:rsidDel="00000000" w:rsidR="00000000" w:rsidRPr="00000000">
              <w:rPr>
                <w:b w:val="1"/>
                <w:bCs w:val="1"/>
                <w:sz w:val="20"/>
                <w:szCs w:val="20"/>
                <w:rtl w:val="0"/>
              </w:rPr>
              <w:t xml:space="preserve">X</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4D">
            <w:pPr>
              <w:spacing w:line="240" w:lineRule="auto"/>
              <w:jc w:val="center"/>
              <w:rPr>
                <w:sz w:val="20"/>
                <w:szCs w:val="20"/>
              </w:rPr>
            </w:pPr>
            <w:r w:rsidDel="00000000" w:rsidR="00000000" w:rsidRPr="00000000">
              <w:rPr>
                <w:sz w:val="20"/>
                <w:szCs w:val="20"/>
                <w:rtl w:val="0"/>
              </w:rPr>
              <w:t xml:space="preserve"> </w:t>
            </w:r>
          </w:p>
        </w:tc>
      </w:tr>
      <w:tr>
        <w:trPr>
          <w:cantSplit w:val="1"/>
          <w:trHeight w:val="720" w:hRule="atLeast"/>
          <w:tblHeader w:val="0"/>
        </w:trPr>
        <w:tc>
          <w:tcPr>
            <w:tcBorders>
              <w:top w:color="000000" w:space="0" w:sz="0" w:val="nil"/>
              <w:left w:color="000000" w:space="0" w:sz="6" w:val="single"/>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4E">
            <w:pPr>
              <w:spacing w:line="240" w:lineRule="auto"/>
              <w:rPr>
                <w:b w:val="1"/>
                <w:bCs w:val="1"/>
                <w:sz w:val="20"/>
                <w:szCs w:val="20"/>
              </w:rPr>
            </w:pPr>
            <w:r w:rsidDel="00000000" w:rsidR="00000000" w:rsidRPr="00000000">
              <w:rPr>
                <w:b w:val="1"/>
                <w:bCs w:val="1"/>
                <w:sz w:val="20"/>
                <w:szCs w:val="20"/>
                <w:rtl w:val="0"/>
              </w:rPr>
              <w:t xml:space="preserve">*Defining and quantifying impacts of changing climatic and environmental conditions</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4F">
            <w:pPr>
              <w:spacing w:line="240" w:lineRule="auto"/>
              <w:jc w:val="center"/>
              <w:rPr>
                <w:b w:val="1"/>
                <w:bCs w:val="1"/>
                <w:sz w:val="20"/>
                <w:szCs w:val="20"/>
              </w:rPr>
            </w:pPr>
            <w:r w:rsidDel="00000000" w:rsidR="00000000" w:rsidRPr="00000000">
              <w:rPr>
                <w:b w:val="1"/>
                <w:bCs w:val="1"/>
                <w:sz w:val="20"/>
                <w:szCs w:val="20"/>
                <w:rtl w:val="0"/>
              </w:rPr>
              <w:t xml:space="preserve">X</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50">
            <w:pPr>
              <w:spacing w:line="240" w:lineRule="auto"/>
              <w:jc w:val="center"/>
              <w:rPr>
                <w:b w:val="1"/>
                <w:bCs w:val="1"/>
                <w:sz w:val="20"/>
                <w:szCs w:val="20"/>
              </w:rPr>
            </w:pPr>
            <w:r w:rsidDel="00000000" w:rsidR="00000000" w:rsidRPr="00000000">
              <w:rPr>
                <w:b w:val="1"/>
                <w:bCs w:val="1"/>
                <w:sz w:val="20"/>
                <w:szCs w:val="20"/>
                <w:rtl w:val="0"/>
              </w:rPr>
              <w:t xml:space="preserve">X</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51">
            <w:pPr>
              <w:spacing w:line="240" w:lineRule="auto"/>
              <w:jc w:val="center"/>
              <w:rPr>
                <w:sz w:val="20"/>
                <w:szCs w:val="20"/>
              </w:rPr>
            </w:pPr>
            <w:r w:rsidDel="00000000" w:rsidR="00000000" w:rsidRPr="00000000">
              <w:rPr>
                <w:sz w:val="20"/>
                <w:szCs w:val="20"/>
                <w:rtl w:val="0"/>
              </w:rPr>
              <w:t xml:space="preserve"> </w:t>
            </w:r>
          </w:p>
        </w:tc>
      </w:tr>
      <w:tr>
        <w:trPr>
          <w:cantSplit w:val="1"/>
          <w:trHeight w:val="720" w:hRule="atLeast"/>
          <w:tblHeader w:val="0"/>
        </w:trPr>
        <w:tc>
          <w:tcPr>
            <w:tcBorders>
              <w:top w:color="000000" w:space="0" w:sz="0" w:val="nil"/>
              <w:left w:color="000000" w:space="0" w:sz="6" w:val="single"/>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52">
            <w:pPr>
              <w:spacing w:line="240" w:lineRule="auto"/>
              <w:rPr>
                <w:b w:val="1"/>
                <w:bCs w:val="1"/>
                <w:color w:val="1f1f1f"/>
                <w:sz w:val="20"/>
                <w:szCs w:val="20"/>
              </w:rPr>
            </w:pPr>
            <w:r w:rsidDel="00000000" w:rsidR="00000000" w:rsidRPr="00000000">
              <w:rPr>
                <w:b w:val="1"/>
                <w:bCs w:val="1"/>
                <w:color w:val="1f1f1f"/>
                <w:sz w:val="20"/>
                <w:szCs w:val="20"/>
                <w:rtl w:val="0"/>
              </w:rPr>
              <w:t xml:space="preserve">*Limited public and private landowner awareness regarding existing land-use transition incentives, cost-share options, and resilient easements.</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53">
            <w:pPr>
              <w:spacing w:line="240"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54">
            <w:pPr>
              <w:spacing w:line="240" w:lineRule="auto"/>
              <w:jc w:val="center"/>
              <w:rPr>
                <w:b w:val="1"/>
                <w:bCs w:val="1"/>
                <w:sz w:val="20"/>
                <w:szCs w:val="20"/>
              </w:rPr>
            </w:pPr>
            <w:r w:rsidDel="00000000" w:rsidR="00000000" w:rsidRPr="00000000">
              <w:rPr>
                <w:b w:val="1"/>
                <w:bCs w:val="1"/>
                <w:sz w:val="20"/>
                <w:szCs w:val="20"/>
                <w:rtl w:val="0"/>
              </w:rPr>
              <w:t xml:space="preserve">X</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55">
            <w:pPr>
              <w:spacing w:line="240" w:lineRule="auto"/>
              <w:jc w:val="center"/>
              <w:rPr>
                <w:sz w:val="20"/>
                <w:szCs w:val="20"/>
              </w:rPr>
            </w:pPr>
            <w:r w:rsidDel="00000000" w:rsidR="00000000" w:rsidRPr="00000000">
              <w:rPr>
                <w:sz w:val="20"/>
                <w:szCs w:val="20"/>
                <w:rtl w:val="0"/>
              </w:rPr>
              <w:t xml:space="preserve"> </w:t>
            </w:r>
          </w:p>
        </w:tc>
      </w:tr>
      <w:tr>
        <w:trPr>
          <w:cantSplit w:val="1"/>
          <w:trHeight w:val="720" w:hRule="atLeast"/>
          <w:tblHeader w:val="0"/>
        </w:trPr>
        <w:tc>
          <w:tcPr>
            <w:tcBorders>
              <w:top w:color="000000" w:space="0" w:sz="0" w:val="nil"/>
              <w:left w:color="000000" w:space="0" w:sz="6" w:val="single"/>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56">
            <w:pPr>
              <w:spacing w:line="240" w:lineRule="auto"/>
              <w:rPr>
                <w:sz w:val="20"/>
                <w:szCs w:val="20"/>
              </w:rPr>
            </w:pPr>
            <w:r w:rsidDel="00000000" w:rsidR="00000000" w:rsidRPr="00000000">
              <w:rPr>
                <w:sz w:val="20"/>
                <w:szCs w:val="20"/>
                <w:rtl w:val="0"/>
              </w:rPr>
              <w:t xml:space="preserve">Tradeoffs of implementing one NbS to address a particular issue (shoreline erosion, stormwater management), but may negatively impact other natural resources outcome (seagrass beds near living shorelines; marsh migration through forested landscapes).</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57">
            <w:pPr>
              <w:spacing w:line="240" w:lineRule="auto"/>
              <w:jc w:val="center"/>
              <w:rPr>
                <w:sz w:val="20"/>
                <w:szCs w:val="20"/>
              </w:rPr>
            </w:pPr>
            <w:r w:rsidDel="00000000" w:rsidR="00000000" w:rsidRPr="00000000">
              <w:rPr>
                <w:sz w:val="20"/>
                <w:szCs w:val="20"/>
                <w:rtl w:val="0"/>
              </w:rPr>
              <w:t xml:space="preserve">X</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58">
            <w:pPr>
              <w:spacing w:line="240"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59">
            <w:pPr>
              <w:spacing w:line="240" w:lineRule="auto"/>
              <w:jc w:val="center"/>
              <w:rPr>
                <w:sz w:val="20"/>
                <w:szCs w:val="20"/>
              </w:rPr>
            </w:pPr>
            <w:r w:rsidDel="00000000" w:rsidR="00000000" w:rsidRPr="00000000">
              <w:rPr>
                <w:sz w:val="20"/>
                <w:szCs w:val="20"/>
                <w:rtl w:val="0"/>
              </w:rPr>
              <w:t xml:space="preserve"> </w:t>
            </w:r>
          </w:p>
        </w:tc>
      </w:tr>
      <w:tr>
        <w:trPr>
          <w:cantSplit w:val="1"/>
          <w:trHeight w:val="720" w:hRule="atLeast"/>
          <w:tblHeader w:val="0"/>
        </w:trPr>
        <w:tc>
          <w:tcPr>
            <w:tcBorders>
              <w:top w:color="000000" w:space="0" w:sz="0" w:val="nil"/>
              <w:left w:color="000000" w:space="0" w:sz="6" w:val="single"/>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5A">
            <w:pPr>
              <w:spacing w:line="240" w:lineRule="auto"/>
              <w:rPr>
                <w:color w:val="1f1f1f"/>
                <w:sz w:val="20"/>
                <w:szCs w:val="20"/>
              </w:rPr>
            </w:pPr>
            <w:r w:rsidDel="00000000" w:rsidR="00000000" w:rsidRPr="00000000">
              <w:rPr>
                <w:color w:val="1f1f1f"/>
                <w:sz w:val="20"/>
                <w:szCs w:val="20"/>
                <w:rtl w:val="0"/>
              </w:rPr>
              <w:t xml:space="preserve">Future forward land use planning and strategies to address risks to private property.</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5B">
            <w:pPr>
              <w:spacing w:line="240" w:lineRule="auto"/>
              <w:jc w:val="center"/>
              <w:rPr>
                <w:sz w:val="20"/>
                <w:szCs w:val="20"/>
              </w:rPr>
            </w:pPr>
            <w:r w:rsidDel="00000000" w:rsidR="00000000" w:rsidRPr="00000000">
              <w:rPr>
                <w:sz w:val="20"/>
                <w:szCs w:val="20"/>
                <w:rtl w:val="0"/>
              </w:rPr>
              <w:t xml:space="preserve">X</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5C">
            <w:pPr>
              <w:spacing w:line="240"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5D">
            <w:pPr>
              <w:spacing w:line="240" w:lineRule="auto"/>
              <w:jc w:val="center"/>
              <w:rPr>
                <w:sz w:val="20"/>
                <w:szCs w:val="20"/>
              </w:rPr>
            </w:pPr>
            <w:r w:rsidDel="00000000" w:rsidR="00000000" w:rsidRPr="00000000">
              <w:rPr>
                <w:sz w:val="20"/>
                <w:szCs w:val="20"/>
                <w:rtl w:val="0"/>
              </w:rPr>
              <w:t xml:space="preserve"> </w:t>
            </w:r>
          </w:p>
        </w:tc>
      </w:tr>
      <w:tr>
        <w:trPr>
          <w:cantSplit w:val="1"/>
          <w:trHeight w:val="720" w:hRule="atLeast"/>
          <w:tblHeader w:val="0"/>
        </w:trPr>
        <w:tc>
          <w:tcPr>
            <w:tcBorders>
              <w:top w:color="000000" w:space="0" w:sz="0" w:val="nil"/>
              <w:left w:color="000000" w:space="0" w:sz="6" w:val="single"/>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5E">
            <w:pPr>
              <w:spacing w:line="240" w:lineRule="auto"/>
              <w:rPr>
                <w:color w:val="1f1f1f"/>
                <w:sz w:val="20"/>
                <w:szCs w:val="20"/>
              </w:rPr>
            </w:pPr>
            <w:r w:rsidDel="00000000" w:rsidR="00000000" w:rsidRPr="00000000">
              <w:rPr>
                <w:color w:val="1f1f1f"/>
                <w:sz w:val="20"/>
                <w:szCs w:val="20"/>
                <w:rtl w:val="0"/>
              </w:rPr>
              <w:t xml:space="preserve">Long-term fiscal uncertainty for sustaining post-construction monitoring and maintenance after grant expiration</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5F">
            <w:pPr>
              <w:spacing w:line="240" w:lineRule="auto"/>
              <w:jc w:val="center"/>
              <w:rPr>
                <w:sz w:val="20"/>
                <w:szCs w:val="20"/>
              </w:rPr>
            </w:pPr>
            <w:r w:rsidDel="00000000" w:rsidR="00000000" w:rsidRPr="00000000">
              <w:rPr>
                <w:sz w:val="20"/>
                <w:szCs w:val="20"/>
                <w:rtl w:val="0"/>
              </w:rPr>
              <w:t xml:space="preserve">X</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60">
            <w:pPr>
              <w:spacing w:line="240"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61">
            <w:pPr>
              <w:spacing w:line="240" w:lineRule="auto"/>
              <w:jc w:val="center"/>
              <w:rPr>
                <w:sz w:val="20"/>
                <w:szCs w:val="20"/>
              </w:rPr>
            </w:pPr>
            <w:r w:rsidDel="00000000" w:rsidR="00000000" w:rsidRPr="00000000">
              <w:rPr>
                <w:sz w:val="20"/>
                <w:szCs w:val="20"/>
                <w:rtl w:val="0"/>
              </w:rPr>
              <w:t xml:space="preserve"> </w:t>
            </w:r>
          </w:p>
        </w:tc>
      </w:tr>
      <w:tr>
        <w:trPr>
          <w:cantSplit w:val="1"/>
          <w:trHeight w:val="720" w:hRule="atLeast"/>
          <w:tblHeader w:val="0"/>
        </w:trPr>
        <w:tc>
          <w:tcPr>
            <w:tcBorders>
              <w:top w:color="000000" w:space="0" w:sz="0" w:val="nil"/>
              <w:left w:color="000000" w:space="0" w:sz="6" w:val="single"/>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62">
            <w:pPr>
              <w:spacing w:line="240" w:lineRule="auto"/>
              <w:rPr>
                <w:color w:val="1f1f1f"/>
                <w:sz w:val="20"/>
                <w:szCs w:val="20"/>
              </w:rPr>
            </w:pPr>
            <w:r w:rsidDel="00000000" w:rsidR="00000000" w:rsidRPr="00000000">
              <w:rPr>
                <w:color w:val="1f1f1f"/>
                <w:sz w:val="20"/>
                <w:szCs w:val="20"/>
                <w:rtl w:val="0"/>
              </w:rPr>
              <w:t xml:space="preserve">*Accelerating rate of sea level rise drowning coastal wetlands and driving saltwater intrusion</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63">
            <w:pPr>
              <w:spacing w:line="240"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64">
            <w:pPr>
              <w:spacing w:line="240"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65">
            <w:pPr>
              <w:spacing w:line="240" w:lineRule="auto"/>
              <w:jc w:val="center"/>
              <w:rPr>
                <w:sz w:val="20"/>
                <w:szCs w:val="20"/>
              </w:rPr>
            </w:pPr>
            <w:r w:rsidDel="00000000" w:rsidR="00000000" w:rsidRPr="00000000">
              <w:rPr>
                <w:sz w:val="20"/>
                <w:szCs w:val="20"/>
                <w:rtl w:val="0"/>
              </w:rPr>
              <w:t xml:space="preserve">X</w:t>
            </w:r>
          </w:p>
        </w:tc>
      </w:tr>
      <w:tr>
        <w:trPr>
          <w:cantSplit w:val="1"/>
          <w:trHeight w:val="720" w:hRule="atLeast"/>
          <w:tblHeader w:val="0"/>
        </w:trPr>
        <w:tc>
          <w:tcPr>
            <w:tcBorders>
              <w:top w:color="000000" w:space="0" w:sz="0" w:val="nil"/>
              <w:left w:color="000000" w:space="0" w:sz="6" w:val="single"/>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66">
            <w:pPr>
              <w:spacing w:line="240" w:lineRule="auto"/>
              <w:rPr>
                <w:color w:val="1f1f1f"/>
                <w:sz w:val="20"/>
                <w:szCs w:val="20"/>
              </w:rPr>
            </w:pPr>
            <w:r w:rsidDel="00000000" w:rsidR="00000000" w:rsidRPr="00000000">
              <w:rPr>
                <w:color w:val="1f1f1f"/>
                <w:sz w:val="20"/>
                <w:szCs w:val="20"/>
                <w:rtl w:val="0"/>
              </w:rPr>
              <w:t xml:space="preserve">*Increasing frequency, duration, and peak intensity of heavy precipitation events and flash flooding</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67">
            <w:pPr>
              <w:spacing w:line="240"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68">
            <w:pPr>
              <w:spacing w:line="240"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69">
            <w:pPr>
              <w:spacing w:line="240" w:lineRule="auto"/>
              <w:jc w:val="center"/>
              <w:rPr>
                <w:sz w:val="20"/>
                <w:szCs w:val="20"/>
              </w:rPr>
            </w:pPr>
            <w:r w:rsidDel="00000000" w:rsidR="00000000" w:rsidRPr="00000000">
              <w:rPr>
                <w:sz w:val="20"/>
                <w:szCs w:val="20"/>
                <w:rtl w:val="0"/>
              </w:rPr>
              <w:t xml:space="preserve">X</w:t>
            </w:r>
          </w:p>
        </w:tc>
      </w:tr>
      <w:tr>
        <w:trPr>
          <w:cantSplit w:val="1"/>
          <w:trHeight w:val="720" w:hRule="atLeast"/>
          <w:tblHeader w:val="0"/>
        </w:trPr>
        <w:tc>
          <w:tcPr>
            <w:tcBorders>
              <w:top w:color="000000" w:space="0" w:sz="0" w:val="nil"/>
              <w:left w:color="000000" w:space="0" w:sz="6" w:val="single"/>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6A">
            <w:pPr>
              <w:spacing w:line="240" w:lineRule="auto"/>
              <w:rPr>
                <w:color w:val="1f1f1f"/>
                <w:sz w:val="20"/>
                <w:szCs w:val="20"/>
              </w:rPr>
            </w:pPr>
            <w:r w:rsidDel="00000000" w:rsidR="00000000" w:rsidRPr="00000000">
              <w:rPr>
                <w:color w:val="1f1f1f"/>
                <w:sz w:val="20"/>
                <w:szCs w:val="20"/>
                <w:rtl w:val="0"/>
              </w:rPr>
              <w:t xml:space="preserve">*Warming atmospheric conditions driving chronic riverine and estuarine water temperature increases</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6B">
            <w:pPr>
              <w:spacing w:line="240"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6C">
            <w:pPr>
              <w:spacing w:line="240"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6D">
            <w:pPr>
              <w:spacing w:line="240" w:lineRule="auto"/>
              <w:jc w:val="center"/>
              <w:rPr>
                <w:sz w:val="20"/>
                <w:szCs w:val="20"/>
              </w:rPr>
            </w:pPr>
            <w:r w:rsidDel="00000000" w:rsidR="00000000" w:rsidRPr="00000000">
              <w:rPr>
                <w:sz w:val="20"/>
                <w:szCs w:val="20"/>
                <w:rtl w:val="0"/>
              </w:rPr>
              <w:t xml:space="preserve">X</w:t>
            </w:r>
          </w:p>
        </w:tc>
      </w:tr>
      <w:tr>
        <w:trPr>
          <w:cantSplit w:val="1"/>
          <w:trHeight w:val="144" w:hRule="atLeast"/>
          <w:tblHeader w:val="0"/>
        </w:trPr>
        <w:tc>
          <w:tcPr>
            <w:tcBorders>
              <w:top w:color="000000" w:space="0" w:sz="0" w:val="nil"/>
              <w:left w:color="000000" w:space="0" w:sz="6" w:val="single"/>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6E">
            <w:pPr>
              <w:spacing w:line="240" w:lineRule="auto"/>
              <w:rPr>
                <w:color w:val="1f1f1f"/>
                <w:sz w:val="20"/>
                <w:szCs w:val="20"/>
              </w:rPr>
            </w:pPr>
            <w:r w:rsidDel="00000000" w:rsidR="00000000" w:rsidRPr="00000000">
              <w:rPr>
                <w:color w:val="1f1f1f"/>
                <w:sz w:val="20"/>
                <w:szCs w:val="20"/>
                <w:rtl w:val="0"/>
              </w:rPr>
              <w:t xml:space="preserve">Cost inflation, material supply chain shortages (native seed stock, saplings), and localized labor constraints</w:t>
            </w:r>
          </w:p>
          <w:p w:rsidR="00000000" w:rsidDel="00000000" w:rsidP="00000000" w:rsidRDefault="00000000" w:rsidRPr="00000000" w14:paraId="0000006F">
            <w:pPr>
              <w:spacing w:line="240"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70">
            <w:pPr>
              <w:spacing w:line="240"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71">
            <w:pPr>
              <w:spacing w:line="240"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72">
            <w:pPr>
              <w:spacing w:line="240" w:lineRule="auto"/>
              <w:jc w:val="center"/>
              <w:rPr>
                <w:sz w:val="20"/>
                <w:szCs w:val="20"/>
              </w:rPr>
            </w:pPr>
            <w:r w:rsidDel="00000000" w:rsidR="00000000" w:rsidRPr="00000000">
              <w:rPr>
                <w:sz w:val="20"/>
                <w:szCs w:val="20"/>
                <w:rtl w:val="0"/>
              </w:rPr>
              <w:t xml:space="preserve">X</w:t>
            </w:r>
          </w:p>
        </w:tc>
      </w:tr>
      <w:tr>
        <w:trPr>
          <w:cantSplit w:val="1"/>
          <w:trHeight w:val="720" w:hRule="atLeast"/>
          <w:tblHeader w:val="0"/>
        </w:trPr>
        <w:tc>
          <w:tcPr>
            <w:tcBorders>
              <w:top w:color="000000" w:space="0" w:sz="0" w:val="nil"/>
              <w:left w:color="000000" w:space="0" w:sz="6" w:val="single"/>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73">
            <w:pPr>
              <w:spacing w:line="240" w:lineRule="auto"/>
              <w:rPr>
                <w:sz w:val="20"/>
                <w:szCs w:val="20"/>
              </w:rPr>
            </w:pPr>
            <w:r w:rsidDel="00000000" w:rsidR="00000000" w:rsidRPr="00000000">
              <w:rPr>
                <w:sz w:val="20"/>
                <w:szCs w:val="20"/>
                <w:rtl w:val="0"/>
              </w:rPr>
              <w:t xml:space="preserve">High fiscal costs of project construction, ranging into millions of dollars per installation</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74">
            <w:pPr>
              <w:spacing w:line="240"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75">
            <w:pPr>
              <w:spacing w:line="240"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76">
            <w:pPr>
              <w:spacing w:line="240" w:lineRule="auto"/>
              <w:jc w:val="center"/>
              <w:rPr>
                <w:sz w:val="20"/>
                <w:szCs w:val="20"/>
              </w:rPr>
            </w:pPr>
            <w:r w:rsidDel="00000000" w:rsidR="00000000" w:rsidRPr="00000000">
              <w:rPr>
                <w:sz w:val="20"/>
                <w:szCs w:val="20"/>
                <w:rtl w:val="0"/>
              </w:rPr>
              <w:t xml:space="preserve">X</w:t>
            </w:r>
          </w:p>
        </w:tc>
      </w:tr>
      <w:tr>
        <w:trPr>
          <w:cantSplit w:val="1"/>
          <w:trHeight w:val="720" w:hRule="atLeast"/>
          <w:tblHeader w:val="0"/>
        </w:trPr>
        <w:tc>
          <w:tcPr>
            <w:tcBorders>
              <w:top w:color="000000" w:space="0" w:sz="0" w:val="nil"/>
              <w:left w:color="000000" w:space="0" w:sz="6" w:val="single"/>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77">
            <w:pPr>
              <w:spacing w:line="240" w:lineRule="auto"/>
              <w:rPr>
                <w:color w:val="1f1f1f"/>
                <w:sz w:val="20"/>
                <w:szCs w:val="20"/>
              </w:rPr>
            </w:pPr>
            <w:r w:rsidDel="00000000" w:rsidR="00000000" w:rsidRPr="00000000">
              <w:rPr>
                <w:color w:val="1f1f1f"/>
                <w:sz w:val="20"/>
                <w:szCs w:val="20"/>
                <w:rtl w:val="0"/>
              </w:rPr>
              <w:t xml:space="preserve">Fragmented ownership (private, public, commercial) across sub-watershed limiting NbS strategy options at the landscape-scale</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78">
            <w:pPr>
              <w:spacing w:line="240" w:lineRule="auto"/>
              <w:jc w:val="center"/>
              <w:rPr>
                <w:i w:val="1"/>
                <w:iCs w:val="1"/>
                <w:sz w:val="20"/>
                <w:szCs w:val="20"/>
              </w:rPr>
            </w:pPr>
            <w:r w:rsidDel="00000000" w:rsidR="00000000" w:rsidRPr="00000000">
              <w:rPr>
                <w:i w:val="1"/>
                <w:iCs w:val="1"/>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79">
            <w:pPr>
              <w:spacing w:line="240" w:lineRule="auto"/>
              <w:jc w:val="center"/>
              <w:rPr>
                <w:i w:val="1"/>
                <w:iCs w:val="1"/>
                <w:sz w:val="20"/>
                <w:szCs w:val="20"/>
              </w:rPr>
            </w:pPr>
            <w:r w:rsidDel="00000000" w:rsidR="00000000" w:rsidRPr="00000000">
              <w:rPr>
                <w:i w:val="1"/>
                <w:iCs w:val="1"/>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07A">
            <w:pPr>
              <w:spacing w:line="240" w:lineRule="auto"/>
              <w:jc w:val="center"/>
              <w:rPr>
                <w:i w:val="1"/>
                <w:iCs w:val="1"/>
                <w:sz w:val="20"/>
                <w:szCs w:val="20"/>
              </w:rPr>
            </w:pPr>
            <w:r w:rsidDel="00000000" w:rsidR="00000000" w:rsidRPr="00000000">
              <w:rPr>
                <w:i w:val="1"/>
                <w:iCs w:val="1"/>
                <w:sz w:val="20"/>
                <w:szCs w:val="20"/>
                <w:rtl w:val="0"/>
              </w:rPr>
              <w:t xml:space="preserve">X</w:t>
            </w:r>
          </w:p>
        </w:tc>
      </w:tr>
    </w:tbl>
    <w:p w:rsidR="00000000" w:rsidDel="00000000" w:rsidP="00000000" w:rsidRDefault="00000000" w:rsidRPr="00000000" w14:paraId="0000007B">
      <w:pPr>
        <w:rPr/>
      </w:pPr>
      <w:r w:rsidDel="00000000" w:rsidR="00000000" w:rsidRPr="00000000">
        <w:rPr>
          <w:rtl w:val="0"/>
        </w:rPr>
        <w:t xml:space="preserve"> </w:t>
      </w:r>
    </w:p>
    <w:p w:rsidR="00000000" w:rsidDel="00000000" w:rsidP="00000000" w:rsidRDefault="00000000" w:rsidRPr="00000000" w14:paraId="0000007C">
      <w:pPr>
        <w:rPr>
          <w:sz w:val="24"/>
          <w:szCs w:val="24"/>
        </w:rPr>
      </w:pPr>
      <w:r w:rsidDel="00000000" w:rsidR="00000000" w:rsidRPr="00000000">
        <w:rPr>
          <w:sz w:val="24"/>
          <w:szCs w:val="24"/>
          <w:rtl w:val="0"/>
        </w:rPr>
        <w:t xml:space="preserve"> </w:t>
      </w:r>
    </w:p>
    <w:p w:rsidR="00000000" w:rsidDel="00000000" w:rsidP="00000000" w:rsidRDefault="00000000" w:rsidRPr="00000000" w14:paraId="0000007D">
      <w:pPr>
        <w:rPr>
          <w:b w:val="1"/>
          <w:bCs w:val="1"/>
          <w:sz w:val="24"/>
          <w:szCs w:val="24"/>
        </w:rPr>
      </w:pPr>
      <w:r w:rsidDel="00000000" w:rsidR="00000000" w:rsidRPr="00000000">
        <w:rPr>
          <w:b w:val="1"/>
          <w:bCs w:val="1"/>
          <w:sz w:val="24"/>
          <w:szCs w:val="24"/>
          <w:rtl w:val="0"/>
        </w:rPr>
        <w:t xml:space="preserve">Snapshot of Signatory Programs</w:t>
      </w:r>
    </w:p>
    <w:p w:rsidR="00000000" w:rsidDel="00000000" w:rsidP="00000000" w:rsidRDefault="00000000" w:rsidRPr="00000000" w14:paraId="0000007E">
      <w:pPr>
        <w:rPr>
          <w:color w:val="1f1f1f"/>
        </w:rPr>
      </w:pPr>
      <w:r w:rsidDel="00000000" w:rsidR="00000000" w:rsidRPr="00000000">
        <w:rPr>
          <w:color w:val="1f1f1f"/>
          <w:rtl w:val="0"/>
        </w:rPr>
        <w:t xml:space="preserve"> </w:t>
      </w:r>
    </w:p>
    <w:p w:rsidR="00000000" w:rsidDel="00000000" w:rsidP="00000000" w:rsidRDefault="00000000" w:rsidRPr="00000000" w14:paraId="0000007F">
      <w:pPr>
        <w:rPr>
          <w:color w:val="1f1f1f"/>
        </w:rPr>
      </w:pPr>
      <w:r w:rsidDel="00000000" w:rsidR="00000000" w:rsidRPr="00000000">
        <w:rPr>
          <w:color w:val="ff0000"/>
          <w:rtl w:val="0"/>
        </w:rPr>
        <w:t xml:space="preserve">[The identification of jurisdictional and federal signatory partners is currently underway. This section will be updated as formal participation is confirmed and additional partners are onboarded.]</w:t>
      </w:r>
      <w:r w:rsidDel="00000000" w:rsidR="00000000" w:rsidRPr="00000000">
        <w:rPr>
          <w:color w:val="1f1f1f"/>
          <w:rtl w:val="0"/>
        </w:rPr>
        <w:t xml:space="preserve"> </w:t>
      </w:r>
    </w:p>
    <w:p w:rsidR="00000000" w:rsidDel="00000000" w:rsidP="00000000" w:rsidRDefault="00000000" w:rsidRPr="00000000" w14:paraId="00000080">
      <w:pPr>
        <w:rPr>
          <w:color w:val="1f1f1f"/>
        </w:rPr>
      </w:pPr>
      <w:r w:rsidDel="00000000" w:rsidR="00000000" w:rsidRPr="00000000">
        <w:rPr>
          <w:rtl w:val="0"/>
        </w:rPr>
      </w:r>
    </w:p>
    <w:p w:rsidR="00000000" w:rsidDel="00000000" w:rsidP="00000000" w:rsidRDefault="00000000" w:rsidRPr="00000000" w14:paraId="00000081">
      <w:pPr>
        <w:rPr>
          <w:color w:val="1f1f1f"/>
        </w:rPr>
      </w:pPr>
      <w:r w:rsidDel="00000000" w:rsidR="00000000" w:rsidRPr="00000000">
        <w:rPr>
          <w:rtl w:val="0"/>
        </w:rPr>
      </w:r>
    </w:p>
    <w:p w:rsidR="00000000" w:rsidDel="00000000" w:rsidP="00000000" w:rsidRDefault="00000000" w:rsidRPr="00000000" w14:paraId="00000082">
      <w:pPr>
        <w:rPr>
          <w:b w:val="1"/>
          <w:bCs w:val="1"/>
          <w:sz w:val="24"/>
          <w:szCs w:val="24"/>
        </w:rPr>
      </w:pPr>
      <w:r w:rsidDel="00000000" w:rsidR="00000000" w:rsidRPr="00000000">
        <w:rPr>
          <w:b w:val="1"/>
          <w:bCs w:val="1"/>
          <w:sz w:val="24"/>
          <w:szCs w:val="24"/>
          <w:rtl w:val="0"/>
        </w:rPr>
        <w:t xml:space="preserve">Management Approaches</w:t>
      </w:r>
    </w:p>
    <w:p w:rsidR="00000000" w:rsidDel="00000000" w:rsidP="00000000" w:rsidRDefault="00000000" w:rsidRPr="00000000" w14:paraId="00000083">
      <w:pPr>
        <w:rPr>
          <w:sz w:val="24"/>
          <w:szCs w:val="24"/>
        </w:rPr>
      </w:pPr>
      <w:r w:rsidDel="00000000" w:rsidR="00000000" w:rsidRPr="00000000">
        <w:rPr>
          <w:sz w:val="24"/>
          <w:szCs w:val="24"/>
          <w:rtl w:val="0"/>
        </w:rPr>
        <w:t xml:space="preserve"> </w:t>
      </w:r>
    </w:p>
    <w:sdt>
      <w:sdtPr>
        <w:id w:val="-1754091646"/>
        <w:tag w:val="goog_rdk_0"/>
      </w:sdtPr>
      <w:sdtContent>
        <w:p w:rsidR="00000000" w:rsidDel="00000000" w:rsidP="00000000" w:rsidRDefault="00000000" w:rsidRPr="00000000" w14:paraId="00000084">
          <w:pPr>
            <w:pStyle w:val="Heading3"/>
            <w:keepNext w:val="0"/>
            <w:keepLines w:val="0"/>
            <w:spacing w:after="200" w:before="200" w:lineRule="auto"/>
            <w:rPr>
              <w:b w:val="1"/>
              <w:bCs w:val="1"/>
              <w:color w:val="000000"/>
              <w:sz w:val="26"/>
              <w:szCs w:val="26"/>
            </w:rPr>
          </w:pPr>
          <w:bookmarkStart w:colFirst="0" w:colLast="0" w:name="_heading=h.dhe8alt3u4pz" w:id="0"/>
          <w:bookmarkEnd w:id="0"/>
          <w:r w:rsidDel="00000000" w:rsidR="00000000" w:rsidRPr="00000000">
            <w:rPr>
              <w:b w:val="1"/>
              <w:bCs w:val="1"/>
              <w:color w:val="000000"/>
              <w:sz w:val="26"/>
              <w:szCs w:val="26"/>
              <w:rtl w:val="0"/>
            </w:rPr>
            <w:t xml:space="preserve">Management Approach 3.1.1 Develop a Criteria and Stakeholder-Based Selection Strategy for Focus Sub-watersheds</w:t>
          </w:r>
        </w:p>
      </w:sdtContent>
    </w:sdt>
    <w:p w:rsidR="00000000" w:rsidDel="00000000" w:rsidP="00000000" w:rsidRDefault="00000000" w:rsidRPr="00000000" w14:paraId="00000085">
      <w:pPr>
        <w:spacing w:after="200" w:before="200" w:lineRule="auto"/>
        <w:rPr/>
      </w:pPr>
      <w:r w:rsidDel="00000000" w:rsidR="00000000" w:rsidRPr="00000000">
        <w:rPr>
          <w:rtl w:val="0"/>
        </w:rPr>
        <w:t xml:space="preserve">To maximize impact and regional representation, candidate sub-watersheds will be selected via data and stakeholder-informed solicitation and review process. Selection criteria will aim to integrate geographic diversity (e.g., urban/rural, tidal/nontidal), climate vulnerability and ecological indices, the presence of existing or planned institutional capacity, alignment with high-priority adaptation needs (e.g., flooding, heatwaves, habitat protection), and potential applicability of nature-based solutions. This process will also aim to evaluate the potential for leveraging funding opportunities (e.g., Sentinel Landscapes, Whole Watershed Act, NFWF Coastal Resilience Fund) and the capacity for cross-outcome and partnership collaboration for watershed-level resilience, rather than relying solely on individual project opportunities. The selection of the seven sub-watersheds will occur incrementally to ensure each focus area receives adequate technical assistance and to allow for iterative improvements in our engagement and technical assistance model. Collaboration with the CBP Geospatial Science and Application Team (GSAT) is planned to leverage existing and new mapping of criteria.  </w:t>
      </w:r>
    </w:p>
    <w:p w:rsidR="00000000" w:rsidDel="00000000" w:rsidP="00000000" w:rsidRDefault="00000000" w:rsidRPr="00000000" w14:paraId="00000086">
      <w:pPr>
        <w:rPr>
          <w:b w:val="1"/>
          <w:bCs w:val="1"/>
          <w:color w:val="ff0000"/>
          <w:sz w:val="26"/>
          <w:szCs w:val="26"/>
        </w:rPr>
      </w:pPr>
      <w:r w:rsidDel="00000000" w:rsidR="00000000" w:rsidRPr="00000000">
        <w:rPr>
          <w:b w:val="1"/>
          <w:bCs w:val="1"/>
          <w:color w:val="ff0000"/>
          <w:sz w:val="26"/>
          <w:szCs w:val="26"/>
          <w:rtl w:val="0"/>
        </w:rPr>
        <w:t xml:space="preserve"> </w:t>
      </w:r>
    </w:p>
    <w:sdt>
      <w:sdtPr>
        <w:id w:val="1569273985"/>
        <w:tag w:val="goog_rdk_1"/>
      </w:sdtPr>
      <w:sdtContent>
        <w:p w:rsidR="00000000" w:rsidDel="00000000" w:rsidP="00000000" w:rsidRDefault="00000000" w:rsidRPr="00000000" w14:paraId="00000087">
          <w:pPr>
            <w:pStyle w:val="Heading3"/>
            <w:keepNext w:val="0"/>
            <w:keepLines w:val="0"/>
            <w:spacing w:after="200" w:before="200" w:lineRule="auto"/>
            <w:rPr>
              <w:b w:val="1"/>
              <w:bCs w:val="1"/>
              <w:color w:val="000000"/>
              <w:sz w:val="26"/>
              <w:szCs w:val="26"/>
            </w:rPr>
          </w:pPr>
          <w:bookmarkStart w:colFirst="0" w:colLast="0" w:name="_heading=h.9l3sjxpg3s79" w:id="1"/>
          <w:bookmarkEnd w:id="1"/>
          <w:r w:rsidDel="00000000" w:rsidR="00000000" w:rsidRPr="00000000">
            <w:rPr>
              <w:b w:val="1"/>
              <w:bCs w:val="1"/>
              <w:color w:val="000000"/>
              <w:sz w:val="26"/>
              <w:szCs w:val="26"/>
              <w:rtl w:val="0"/>
            </w:rPr>
            <w:t xml:space="preserve">Management Approach 3.1.2: Build Strategic Coalitions through Stakeholder Engagement and Connector Framework</w:t>
          </w:r>
        </w:p>
      </w:sdtContent>
    </w:sdt>
    <w:p w:rsidR="00000000" w:rsidDel="00000000" w:rsidP="00000000" w:rsidRDefault="00000000" w:rsidRPr="00000000" w14:paraId="00000088">
      <w:pPr>
        <w:spacing w:after="200" w:before="200" w:lineRule="auto"/>
        <w:rPr/>
      </w:pPr>
      <w:r w:rsidDel="00000000" w:rsidR="00000000" w:rsidRPr="00000000">
        <w:rPr>
          <w:rtl w:val="0"/>
        </w:rPr>
        <w:t xml:space="preserve">The workgroup will act as a strategic "connector" and "translator," bridging the gap between high-level climate science and localized action. We will support activities, such as network mapping, that aims to improve our understanding of the institutional landscape, including local restoration practitioners, land trusts, and soil conservation districts—to advance adaptation efforts at the watershed scale. We will coordinate with the HLGT, Local Government Leadership Workgroup and the Strategic Engagement Team (SET) when developing the stakeholder engagement and connector framework to maximize existing relationships and reduce redundancy when working with partners in the sub-watersheds. We plan to move beyond opportunistic projects toward a framework that facilitates peer-to-peer knowledge exchange, leverages diverse funding sources, and matches local technical needs with regional expertise across the sub-watershed. Ultimately, this approach aims to empower networks to collaborate on identifying (Target 1) and implementing (Target 2) adaptation efforts within the sub-watershed for additive community and watershed-scale benefits. Strategic coalitions lead to a greater likelihood of advancing Target 2 of the ACEC outcome through combined resources and expertise.</w:t>
        <w:tab/>
      </w:r>
    </w:p>
    <w:p w:rsidR="00000000" w:rsidDel="00000000" w:rsidP="00000000" w:rsidRDefault="00000000" w:rsidRPr="00000000" w14:paraId="00000089">
      <w:pPr>
        <w:spacing w:after="200" w:before="200" w:lineRule="auto"/>
        <w:rPr/>
      </w:pPr>
      <w:r w:rsidDel="00000000" w:rsidR="00000000" w:rsidRPr="00000000">
        <w:rPr>
          <w:rtl w:val="0"/>
        </w:rPr>
        <w:t xml:space="preserve"> </w:t>
      </w:r>
    </w:p>
    <w:sdt>
      <w:sdtPr>
        <w:id w:val="-108850040"/>
        <w:tag w:val="goog_rdk_2"/>
      </w:sdtPr>
      <w:sdtContent>
        <w:p w:rsidR="00000000" w:rsidDel="00000000" w:rsidP="00000000" w:rsidRDefault="00000000" w:rsidRPr="00000000" w14:paraId="0000008A">
          <w:pPr>
            <w:pStyle w:val="Heading3"/>
            <w:keepNext w:val="0"/>
            <w:keepLines w:val="0"/>
            <w:spacing w:after="200" w:before="200" w:lineRule="auto"/>
            <w:rPr>
              <w:b w:val="1"/>
              <w:bCs w:val="1"/>
              <w:color w:val="000000"/>
              <w:sz w:val="26"/>
              <w:szCs w:val="26"/>
            </w:rPr>
          </w:pPr>
          <w:bookmarkStart w:colFirst="0" w:colLast="0" w:name="_heading=h.udro8l2u76x7" w:id="2"/>
          <w:bookmarkEnd w:id="2"/>
          <w:r w:rsidDel="00000000" w:rsidR="00000000" w:rsidRPr="00000000">
            <w:rPr>
              <w:b w:val="1"/>
              <w:bCs w:val="1"/>
              <w:color w:val="000000"/>
              <w:sz w:val="26"/>
              <w:szCs w:val="26"/>
              <w:rtl w:val="0"/>
            </w:rPr>
            <w:t xml:space="preserve">Management Approach 3.1.3: Support Place-Based, Needs-Driven Technical Assistance for Additive Benefits</w:t>
          </w:r>
        </w:p>
      </w:sdtContent>
    </w:sdt>
    <w:p w:rsidR="00000000" w:rsidDel="00000000" w:rsidP="00000000" w:rsidRDefault="00000000" w:rsidRPr="00000000" w14:paraId="0000008B">
      <w:pPr>
        <w:spacing w:after="200" w:before="200" w:lineRule="auto"/>
        <w:rPr/>
      </w:pPr>
      <w:r w:rsidDel="00000000" w:rsidR="00000000" w:rsidRPr="00000000">
        <w:rPr>
          <w:rtl w:val="0"/>
        </w:rPr>
        <w:t xml:space="preserve">The workgroup will provide tailored technical assistance that recognizes a spectrum of adaptation strategies for the selected sub-watersheds. While we prioritize nature-based solutions (NbS) for their multifaceted benefits, we will also coordinate with other CBP workgroups and their experts when considering gray or hybrid gray-green infrastructure, where they are determined to be the most effective mechanism for addressing local vulnerabilities. For Nbs that crosses over with other outcomes (e.g., wetlands, forest conservation), we will coordinate with the corresponding workgroup. </w:t>
      </w:r>
    </w:p>
    <w:p w:rsidR="00000000" w:rsidDel="00000000" w:rsidP="00000000" w:rsidRDefault="00000000" w:rsidRPr="00000000" w14:paraId="0000008C">
      <w:pPr>
        <w:spacing w:after="200" w:before="200" w:lineRule="auto"/>
        <w:rPr/>
      </w:pPr>
      <w:r w:rsidDel="00000000" w:rsidR="00000000" w:rsidRPr="00000000">
        <w:rPr>
          <w:rtl w:val="0"/>
        </w:rPr>
        <w:t xml:space="preserve">Assistance will focus on maximizing "additive benefits” such as combining hazard mitigation, water quality improvements, and habitat restoration. We will structure workgroup activities to deploy expertise, translate data, and build on lessons learned to help partners within the sub-watershed navigate the transition from initial concept (Target 1) to implementation (Target 2), providing guidance on best practices, funding, design, implementation pathways, and scaling adaptation considerations at the watershed-scale.</w:t>
      </w:r>
    </w:p>
    <w:p w:rsidR="00000000" w:rsidDel="00000000" w:rsidP="00000000" w:rsidRDefault="00000000" w:rsidRPr="00000000" w14:paraId="0000008D">
      <w:pPr>
        <w:rPr/>
      </w:pPr>
      <w:r w:rsidDel="00000000" w:rsidR="00000000" w:rsidRPr="00000000">
        <w:rPr>
          <w:rtl w:val="0"/>
        </w:rPr>
        <w:t xml:space="preserve">Adaptation strategies will encompass both tidal/coastal and nontidal/upland restoration and protection projects and other resilience activities, including, but not limited to:</w:t>
      </w:r>
    </w:p>
    <w:p w:rsidR="00000000" w:rsidDel="00000000" w:rsidP="00000000" w:rsidRDefault="00000000" w:rsidRPr="00000000" w14:paraId="0000008E">
      <w:pPr>
        <w:rPr>
          <w:sz w:val="24"/>
          <w:szCs w:val="24"/>
        </w:rPr>
      </w:pPr>
      <w:r w:rsidDel="00000000" w:rsidR="00000000" w:rsidRPr="00000000">
        <w:rPr>
          <w:sz w:val="24"/>
          <w:szCs w:val="24"/>
          <w:rtl w:val="0"/>
        </w:rPr>
        <w:t xml:space="preserve"> </w:t>
      </w:r>
    </w:p>
    <w:p w:rsidR="00000000" w:rsidDel="00000000" w:rsidP="00000000" w:rsidRDefault="00000000" w:rsidRPr="00000000" w14:paraId="0000008F">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Wetland restoration</w:t>
      </w:r>
    </w:p>
    <w:p w:rsidR="00000000" w:rsidDel="00000000" w:rsidP="00000000" w:rsidRDefault="00000000" w:rsidRPr="00000000" w14:paraId="00000090">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Living shorelines</w:t>
      </w:r>
    </w:p>
    <w:p w:rsidR="00000000" w:rsidDel="00000000" w:rsidP="00000000" w:rsidRDefault="00000000" w:rsidRPr="00000000" w14:paraId="00000091">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Tree canopy expansion and forest conservation</w:t>
      </w:r>
    </w:p>
    <w:p w:rsidR="00000000" w:rsidDel="00000000" w:rsidP="00000000" w:rsidRDefault="00000000" w:rsidRPr="00000000" w14:paraId="00000092">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Green infrastructure and small-scale stormwater management</w:t>
      </w:r>
    </w:p>
    <w:p w:rsidR="00000000" w:rsidDel="00000000" w:rsidP="00000000" w:rsidRDefault="00000000" w:rsidRPr="00000000" w14:paraId="00000093">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Stream and/or floodplain protection, restoration and floodplain management</w:t>
      </w:r>
    </w:p>
    <w:p w:rsidR="00000000" w:rsidDel="00000000" w:rsidP="00000000" w:rsidRDefault="00000000" w:rsidRPr="00000000" w14:paraId="00000094">
      <w:pPr>
        <w:numPr>
          <w:ilvl w:val="0"/>
          <w:numId w:val="2"/>
        </w:numPr>
        <w:ind w:left="1080" w:hanging="360"/>
        <w:rPr/>
      </w:pPr>
      <w:r w:rsidDel="00000000" w:rsidR="00000000" w:rsidRPr="00000000">
        <w:rPr>
          <w:rtl w:val="0"/>
        </w:rPr>
        <w:t xml:space="preserve">Other adaptation solutions, including hybrid approaches</w:t>
      </w:r>
    </w:p>
    <w:p w:rsidR="00000000" w:rsidDel="00000000" w:rsidP="00000000" w:rsidRDefault="00000000" w:rsidRPr="00000000" w14:paraId="00000095">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Resilience plans as the watershed-scale</w:t>
      </w:r>
    </w:p>
    <w:p w:rsidR="00000000" w:rsidDel="00000000" w:rsidP="00000000" w:rsidRDefault="00000000" w:rsidRPr="00000000" w14:paraId="00000096">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Community outreach programs</w:t>
      </w:r>
    </w:p>
    <w:p w:rsidR="00000000" w:rsidDel="00000000" w:rsidP="00000000" w:rsidRDefault="00000000" w:rsidRPr="00000000" w14:paraId="00000097">
      <w:pPr>
        <w:numPr>
          <w:ilvl w:val="0"/>
          <w:numId w:val="3"/>
        </w:numPr>
        <w:ind w:left="1080" w:hanging="360"/>
        <w:rPr/>
      </w:pPr>
      <w:r w:rsidDel="00000000" w:rsidR="00000000" w:rsidRPr="00000000">
        <w:rPr>
          <w:rtl w:val="0"/>
        </w:rPr>
        <w:t xml:space="preserve">Policy and regulatory examples</w:t>
      </w:r>
    </w:p>
    <w:p w:rsidR="00000000" w:rsidDel="00000000" w:rsidP="00000000" w:rsidRDefault="00000000" w:rsidRPr="00000000" w14:paraId="00000098">
      <w:pPr>
        <w:numPr>
          <w:ilvl w:val="0"/>
          <w:numId w:val="3"/>
        </w:numPr>
        <w:ind w:left="1080" w:hanging="360"/>
        <w:rPr/>
      </w:pPr>
      <w:r w:rsidDel="00000000" w:rsidR="00000000" w:rsidRPr="00000000">
        <w:rPr>
          <w:rtl w:val="0"/>
        </w:rPr>
        <w:t xml:space="preserve">Financing programs for adaptation</w:t>
      </w:r>
    </w:p>
    <w:p w:rsidR="00000000" w:rsidDel="00000000" w:rsidP="00000000" w:rsidRDefault="00000000" w:rsidRPr="00000000" w14:paraId="00000099">
      <w:pPr>
        <w:numPr>
          <w:ilvl w:val="0"/>
          <w:numId w:val="3"/>
        </w:numPr>
        <w:ind w:left="1080" w:hanging="360"/>
        <w:rPr/>
      </w:pPr>
      <w:r w:rsidDel="00000000" w:rsidR="00000000" w:rsidRPr="00000000">
        <w:rPr>
          <w:rtl w:val="0"/>
        </w:rPr>
        <w:t xml:space="preserve">Improvements to existing stormwater management and floodplain management infrastructure</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spacing w:after="200" w:before="200" w:lineRule="auto"/>
        <w:rPr/>
      </w:pPr>
      <w:r w:rsidDel="00000000" w:rsidR="00000000" w:rsidRPr="00000000">
        <w:rPr>
          <w:rtl w:val="0"/>
        </w:rPr>
        <w:t xml:space="preserve">The Collaborative Tidal Marsh Adaptation</w:t>
      </w:r>
      <w:hyperlink r:id="rId7">
        <w:r w:rsidDel="00000000" w:rsidR="00000000" w:rsidRPr="00000000">
          <w:rPr>
            <w:rtl w:val="0"/>
          </w:rPr>
          <w:t xml:space="preserve"> </w:t>
        </w:r>
      </w:hyperlink>
      <w:hyperlink r:id="rId8">
        <w:r w:rsidDel="00000000" w:rsidR="00000000" w:rsidRPr="00000000">
          <w:rPr>
            <w:color w:val="1155cc"/>
            <w:u w:val="single"/>
            <w:rtl w:val="0"/>
          </w:rPr>
          <w:t xml:space="preserve">framework</w:t>
        </w:r>
      </w:hyperlink>
      <w:r w:rsidDel="00000000" w:rsidR="00000000" w:rsidRPr="00000000">
        <w:rPr>
          <w:rtl w:val="0"/>
        </w:rPr>
        <w:t xml:space="preserve">, the NOAA Habitat Focus Areas, and Maryland’s Whole Watershed Program are examples of place-based frameworks to inform the workgroup’s strategy.</w:t>
      </w:r>
    </w:p>
    <w:p w:rsidR="00000000" w:rsidDel="00000000" w:rsidP="00000000" w:rsidRDefault="00000000" w:rsidRPr="00000000" w14:paraId="0000009C">
      <w:pPr>
        <w:spacing w:after="200" w:before="200" w:lineRule="auto"/>
        <w:rPr/>
      </w:pPr>
      <w:r w:rsidDel="00000000" w:rsidR="00000000" w:rsidRPr="00000000">
        <w:rPr>
          <w:rtl w:val="0"/>
        </w:rPr>
        <w:t xml:space="preserve"> </w:t>
      </w:r>
    </w:p>
    <w:p w:rsidR="00000000" w:rsidDel="00000000" w:rsidP="00000000" w:rsidRDefault="00000000" w:rsidRPr="00000000" w14:paraId="0000009D">
      <w:pPr>
        <w:spacing w:after="200" w:before="200" w:lineRule="auto"/>
        <w:rPr>
          <w:b w:val="1"/>
          <w:bCs w:val="1"/>
          <w:sz w:val="28"/>
          <w:szCs w:val="28"/>
        </w:rPr>
      </w:pPr>
      <w:r w:rsidDel="00000000" w:rsidR="00000000" w:rsidRPr="00000000">
        <w:rPr>
          <w:b w:val="1"/>
          <w:bCs w:val="1"/>
          <w:sz w:val="26"/>
          <w:szCs w:val="26"/>
          <w:rtl w:val="0"/>
        </w:rPr>
        <w:t xml:space="preserve">Management Approach 3.1.4: Promote </w:t>
      </w:r>
      <w:r w:rsidDel="00000000" w:rsidR="00000000" w:rsidRPr="00000000">
        <w:rPr>
          <w:b w:val="1"/>
          <w:bCs w:val="1"/>
          <w:sz w:val="28"/>
          <w:szCs w:val="28"/>
          <w:rtl w:val="0"/>
        </w:rPr>
        <w:t xml:space="preserve">Adaptation Monitoring, Data Integration, and Implementation Tracking to Assess Long-Term Resilience</w:t>
      </w:r>
    </w:p>
    <w:p w:rsidR="00000000" w:rsidDel="00000000" w:rsidP="00000000" w:rsidRDefault="00000000" w:rsidRPr="00000000" w14:paraId="0000009E">
      <w:pPr>
        <w:spacing w:after="200" w:before="200" w:lineRule="auto"/>
        <w:rPr/>
      </w:pPr>
      <w:r w:rsidDel="00000000" w:rsidR="00000000" w:rsidRPr="00000000">
        <w:rPr>
          <w:rtl w:val="0"/>
        </w:rPr>
        <w:t xml:space="preserve">To assess long-term resilience across selected sub-watersheds, the workgroup will help document standardized data-sharing mechanisms and best practices for monitoring and data collection at both the project and landscape scales. We will collaborate with partners to identify the most effective ways to gather key information—such as using surveys or data calls to track existing and proposed nature-based solutions (NbS) and evaluate implementation success. Synthesizing these monitoring practices and dataset insights will support better identification (Target 1) and implementation (Target 2) of adaptation projects, while establishing performance indicators for additive benefits. Additionally, we will coordinate with GSAT on data-sharing mechanisms to ensure findings from focus sub-watersheds are transformed into actionable products that guide resilience planning both locally and regionally.</w:t>
      </w:r>
    </w:p>
    <w:p w:rsidR="00000000" w:rsidDel="00000000" w:rsidP="00000000" w:rsidRDefault="00000000" w:rsidRPr="00000000" w14:paraId="0000009F">
      <w:pPr>
        <w:pStyle w:val="Heading3"/>
        <w:keepNext w:val="0"/>
        <w:keepLines w:val="0"/>
        <w:spacing w:after="200" w:before="200" w:lineRule="auto"/>
        <w:rPr>
          <w:b w:val="1"/>
          <w:bCs w:val="1"/>
          <w:color w:val="000000"/>
          <w:sz w:val="24"/>
          <w:szCs w:val="24"/>
        </w:rPr>
      </w:pPr>
      <w:bookmarkStart w:colFirst="0" w:colLast="0" w:name="_heading=h.su4e9r5dvspt" w:id="3"/>
      <w:bookmarkEnd w:id="3"/>
      <w:r w:rsidDel="00000000" w:rsidR="00000000" w:rsidRPr="00000000">
        <w:rPr>
          <w:b w:val="1"/>
          <w:bCs w:val="1"/>
          <w:color w:val="000000"/>
          <w:sz w:val="24"/>
          <w:szCs w:val="24"/>
          <w:rtl w:val="0"/>
        </w:rPr>
        <w:t xml:space="preserve"> </w:t>
      </w:r>
    </w:p>
    <w:p w:rsidR="00000000" w:rsidDel="00000000" w:rsidP="00000000" w:rsidRDefault="00000000" w:rsidRPr="00000000" w14:paraId="000000A0">
      <w:pPr>
        <w:rPr>
          <w:b w:val="1"/>
          <w:bCs w:val="1"/>
          <w:sz w:val="24"/>
          <w:szCs w:val="24"/>
        </w:rPr>
      </w:pPr>
      <w:r w:rsidDel="00000000" w:rsidR="00000000" w:rsidRPr="00000000">
        <w:rPr>
          <w:b w:val="1"/>
          <w:bCs w:val="1"/>
          <w:sz w:val="24"/>
          <w:szCs w:val="24"/>
          <w:rtl w:val="0"/>
        </w:rPr>
        <w:t xml:space="preserve">Participating Partners</w:t>
      </w:r>
    </w:p>
    <w:p w:rsidR="00000000" w:rsidDel="00000000" w:rsidP="00000000" w:rsidRDefault="00000000" w:rsidRPr="00000000" w14:paraId="000000A1">
      <w:pPr>
        <w:rPr>
          <w:sz w:val="24"/>
          <w:szCs w:val="24"/>
        </w:rPr>
      </w:pPr>
      <w:r w:rsidDel="00000000" w:rsidR="00000000" w:rsidRPr="00000000">
        <w:rPr>
          <w:sz w:val="24"/>
          <w:szCs w:val="24"/>
          <w:rtl w:val="0"/>
        </w:rPr>
        <w:t xml:space="preserve"> </w:t>
      </w:r>
    </w:p>
    <w:p w:rsidR="00000000" w:rsidDel="00000000" w:rsidP="00000000" w:rsidRDefault="00000000" w:rsidRPr="00000000" w14:paraId="000000A2">
      <w:pPr>
        <w:rPr>
          <w:color w:val="ff0000"/>
        </w:rPr>
      </w:pPr>
      <w:r w:rsidDel="00000000" w:rsidR="00000000" w:rsidRPr="00000000">
        <w:rPr>
          <w:color w:val="ff0000"/>
          <w:rtl w:val="0"/>
        </w:rPr>
        <w:t xml:space="preserve">[The identification of jurisdictional and federal signatory partners is currently underway. This section will be updated as formal participation is confirmed and additional partners are onboarded]</w:t>
      </w:r>
    </w:p>
    <w:p w:rsidR="00000000" w:rsidDel="00000000" w:rsidP="00000000" w:rsidRDefault="00000000" w:rsidRPr="00000000" w14:paraId="000000A3">
      <w:pPr>
        <w:rPr/>
      </w:pPr>
      <w:r w:rsidDel="00000000" w:rsidR="00000000" w:rsidRPr="00000000">
        <w:rPr>
          <w:rtl w:val="0"/>
        </w:rPr>
        <w:t xml:space="preserve"> </w:t>
      </w:r>
    </w:p>
    <w:p w:rsidR="00000000" w:rsidDel="00000000" w:rsidP="00000000" w:rsidRDefault="00000000" w:rsidRPr="00000000" w14:paraId="000000A4">
      <w:pPr>
        <w:rPr/>
      </w:pPr>
      <w:r w:rsidDel="00000000" w:rsidR="00000000" w:rsidRPr="00000000">
        <w:rPr>
          <w:rtl w:val="0"/>
        </w:rPr>
        <w:t xml:space="preserve">The following partners participated in the creation of this Management Strategy and expressed their intention to collaborate on Management Strategy implementation over the next six years.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Signatory partners may join implementation efforts at any time. Partners also recognize that Signatory participation is voluntary and may vary accordingly.</w:t>
      </w:r>
    </w:p>
    <w:p w:rsidR="00000000" w:rsidDel="00000000" w:rsidP="00000000" w:rsidRDefault="00000000" w:rsidRPr="00000000" w14:paraId="000000A5">
      <w:pPr>
        <w:rPr/>
      </w:pPr>
      <w:r w:rsidDel="00000000" w:rsidR="00000000" w:rsidRPr="00000000">
        <w:rPr>
          <w:rtl w:val="0"/>
        </w:rPr>
        <w:t xml:space="preserve"> </w:t>
      </w:r>
    </w:p>
    <w:p w:rsidR="00000000" w:rsidDel="00000000" w:rsidP="00000000" w:rsidRDefault="00000000" w:rsidRPr="00000000" w14:paraId="000000A6">
      <w:pPr>
        <w:ind w:left="760" w:firstLine="0"/>
        <w:rPr>
          <w:b w:val="1"/>
          <w:bCs w:val="1"/>
        </w:rPr>
      </w:pPr>
      <w:r w:rsidDel="00000000" w:rsidR="00000000" w:rsidRPr="00000000">
        <w:rPr>
          <w:rtl w:val="0"/>
        </w:rPr>
        <w:t xml:space="preserve">●       </w:t>
      </w:r>
      <w:r w:rsidDel="00000000" w:rsidR="00000000" w:rsidRPr="00000000">
        <w:rPr>
          <w:b w:val="1"/>
          <w:bCs w:val="1"/>
          <w:rtl w:val="0"/>
        </w:rPr>
        <w:t xml:space="preserve">Signatory Partners</w:t>
      </w:r>
    </w:p>
    <w:p w:rsidR="00000000" w:rsidDel="00000000" w:rsidP="00000000" w:rsidRDefault="00000000" w:rsidRPr="00000000" w14:paraId="000000A7">
      <w:pPr>
        <w:ind w:left="1480" w:firstLine="0"/>
        <w:rPr/>
      </w:pPr>
      <w:r w:rsidDel="00000000" w:rsidR="00000000" w:rsidRPr="00000000">
        <w:rPr>
          <w:rtl w:val="0"/>
        </w:rPr>
        <w:t xml:space="preserve">o    </w:t>
      </w:r>
    </w:p>
    <w:p w:rsidR="00000000" w:rsidDel="00000000" w:rsidP="00000000" w:rsidRDefault="00000000" w:rsidRPr="00000000" w14:paraId="000000A8">
      <w:pPr>
        <w:ind w:left="760" w:firstLine="0"/>
        <w:rPr>
          <w:b w:val="1"/>
          <w:bCs w:val="1"/>
        </w:rPr>
      </w:pPr>
      <w:r w:rsidDel="00000000" w:rsidR="00000000" w:rsidRPr="00000000">
        <w:rPr>
          <w:rtl w:val="0"/>
        </w:rPr>
        <w:t xml:space="preserve">●       </w:t>
      </w:r>
      <w:r w:rsidDel="00000000" w:rsidR="00000000" w:rsidRPr="00000000">
        <w:rPr>
          <w:b w:val="1"/>
          <w:bCs w:val="1"/>
          <w:rtl w:val="0"/>
        </w:rPr>
        <w:t xml:space="preserve">Other Partners</w:t>
      </w:r>
    </w:p>
    <w:p w:rsidR="00000000" w:rsidDel="00000000" w:rsidP="00000000" w:rsidRDefault="00000000" w:rsidRPr="00000000" w14:paraId="000000A9">
      <w:pPr>
        <w:spacing w:after="160" w:lineRule="auto"/>
        <w:ind w:left="1480" w:firstLine="0"/>
        <w:rPr/>
      </w:pPr>
      <w:r w:rsidDel="00000000" w:rsidR="00000000" w:rsidRPr="00000000">
        <w:rPr>
          <w:rtl w:val="0"/>
        </w:rPr>
        <w:t xml:space="preserve">o    </w:t>
      </w:r>
    </w:p>
    <w:p w:rsidR="00000000" w:rsidDel="00000000" w:rsidP="00000000" w:rsidRDefault="00000000" w:rsidRPr="00000000" w14:paraId="000000A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chesapeakebay.net/projects/marsh-adaptation-and-partnership-building-projects" TargetMode="External"/><Relationship Id="rId8" Type="http://schemas.openxmlformats.org/officeDocument/2006/relationships/hyperlink" Target="https://www.chesapeakebay.net/projects/marsh-adaptation-and-partnership-building-proje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nvK4QD/AHJ2bkqsdWHgn74DvDA==">CgMxLjAaDQoBMBIICgYIBTICCAEaDQoBMRIICgYIBTICCAEaDQoBMhIICgYIBTICCAEyDmguZGhlOGFsdDN1NHB6Mg5oLjlsM3NqeHBnM3M3OTIOaC51ZHJvOGwydTc2eDcyDmguc3U0ZTlyNWR2c3B0OAByITFycjFpMzVFOF9mYUFFaXlFZjJfbnBfNzVnS1E4akpJRA==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2026-09-10T13:19:00Z</dcterms:created>
  <dc:creator>Julie.Reichert-Nguyen</dc:creator>
</cp:coreProperties>
</file>