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FF414" w14:textId="77777777" w:rsidR="00547FBD" w:rsidRDefault="00547FBD" w:rsidP="00547FBD">
      <w:pPr>
        <w:shd w:val="clear" w:color="auto" w:fill="FFFFFF"/>
        <w:spacing w:before="480" w:after="0" w:line="240" w:lineRule="auto"/>
        <w:jc w:val="center"/>
        <w:rPr>
          <w:rFonts w:ascii="Verdana" w:eastAsia="Times New Roman" w:hAnsi="Verdana" w:cstheme="minorHAnsi"/>
          <w:b/>
          <w:bCs/>
          <w:color w:val="222222"/>
          <w:sz w:val="40"/>
          <w:szCs w:val="40"/>
        </w:rPr>
      </w:pPr>
      <w:r w:rsidRPr="00547FBD">
        <w:rPr>
          <w:rFonts w:ascii="Verdana" w:eastAsia="Times New Roman" w:hAnsi="Verdana" w:cstheme="minorHAnsi"/>
          <w:b/>
          <w:bCs/>
          <w:color w:val="222222"/>
          <w:sz w:val="40"/>
          <w:szCs w:val="40"/>
        </w:rPr>
        <w:t>CAC Subcommittee for Emerging Issues</w:t>
      </w:r>
    </w:p>
    <w:p w14:paraId="73EC6B0B" w14:textId="7BB1B2A9" w:rsidR="00547FBD" w:rsidRPr="00547FBD" w:rsidRDefault="00547FBD" w:rsidP="00547FBD">
      <w:pPr>
        <w:shd w:val="clear" w:color="auto" w:fill="FFFFFF"/>
        <w:spacing w:before="480" w:after="0" w:line="240" w:lineRule="auto"/>
        <w:jc w:val="center"/>
        <w:rPr>
          <w:rFonts w:ascii="Verdana" w:eastAsia="Times New Roman" w:hAnsi="Verdana" w:cstheme="minorHAnsi"/>
          <w:b/>
          <w:bCs/>
          <w:color w:val="222222"/>
          <w:sz w:val="40"/>
          <w:szCs w:val="40"/>
        </w:rPr>
      </w:pPr>
      <w:r>
        <w:rPr>
          <w:rFonts w:ascii="Verdana" w:eastAsia="Times New Roman" w:hAnsi="Verdana" w:cstheme="minorHAnsi"/>
          <w:sz w:val="24"/>
          <w:szCs w:val="24"/>
        </w:rPr>
        <w:t>Internal Briefing Document for the Citizens Advisory Committee</w:t>
      </w:r>
    </w:p>
    <w:p w14:paraId="5C4C718B" w14:textId="77777777" w:rsidR="00547FBD" w:rsidRPr="00547FBD" w:rsidRDefault="00547FBD" w:rsidP="00547FBD">
      <w:pPr>
        <w:shd w:val="clear" w:color="auto" w:fill="FFFFFF"/>
        <w:spacing w:after="0" w:line="240" w:lineRule="auto"/>
        <w:rPr>
          <w:rFonts w:ascii="Verdana" w:eastAsia="Times New Roman" w:hAnsi="Verdana" w:cstheme="minorHAnsi"/>
          <w:sz w:val="24"/>
          <w:szCs w:val="24"/>
        </w:rPr>
      </w:pPr>
      <w:r w:rsidRPr="00547FBD">
        <w:rPr>
          <w:rFonts w:ascii="Verdana" w:eastAsia="Times New Roman" w:hAnsi="Verdana" w:cstheme="minorHAnsi"/>
          <w:sz w:val="24"/>
          <w:szCs w:val="24"/>
        </w:rPr>
        <w:t> </w:t>
      </w:r>
    </w:p>
    <w:p w14:paraId="7BACBF4E" w14:textId="77777777" w:rsidR="00547FBD" w:rsidRPr="00547FBD" w:rsidRDefault="00547FBD" w:rsidP="00547FBD">
      <w:pPr>
        <w:shd w:val="clear" w:color="auto" w:fill="FFFFFF"/>
        <w:spacing w:after="0" w:line="240" w:lineRule="auto"/>
        <w:rPr>
          <w:rFonts w:ascii="Verdana" w:eastAsia="Times New Roman" w:hAnsi="Verdana" w:cstheme="minorHAnsi"/>
          <w:sz w:val="24"/>
          <w:szCs w:val="24"/>
        </w:rPr>
      </w:pPr>
      <w:r w:rsidRPr="00547FBD">
        <w:rPr>
          <w:rFonts w:ascii="Verdana" w:eastAsia="Times New Roman" w:hAnsi="Verdana" w:cstheme="minorHAnsi"/>
          <w:b/>
          <w:bCs/>
          <w:color w:val="222222"/>
          <w:sz w:val="24"/>
          <w:szCs w:val="24"/>
        </w:rPr>
        <w:t>Why are we learning about solar development?</w:t>
      </w:r>
    </w:p>
    <w:p w14:paraId="2D33FD10" w14:textId="0D6516F8" w:rsidR="00547FBD" w:rsidRPr="00547FBD" w:rsidRDefault="00547FBD" w:rsidP="00547FBD">
      <w:pPr>
        <w:numPr>
          <w:ilvl w:val="0"/>
          <w:numId w:val="1"/>
        </w:numPr>
        <w:shd w:val="clear" w:color="auto" w:fill="FFFFFF"/>
        <w:spacing w:after="0" w:line="240" w:lineRule="auto"/>
        <w:textAlignment w:val="baseline"/>
        <w:rPr>
          <w:rFonts w:ascii="Verdana" w:eastAsia="Times New Roman" w:hAnsi="Verdana" w:cstheme="minorHAnsi"/>
          <w:color w:val="222222"/>
          <w:sz w:val="24"/>
          <w:szCs w:val="24"/>
        </w:rPr>
      </w:pPr>
      <w:r>
        <w:rPr>
          <w:rFonts w:ascii="Verdana" w:eastAsia="Times New Roman" w:hAnsi="Verdana" w:cstheme="minorHAnsi"/>
          <w:color w:val="000000"/>
          <w:sz w:val="24"/>
          <w:szCs w:val="24"/>
        </w:rPr>
        <w:t>R</w:t>
      </w:r>
      <w:r w:rsidRPr="00547FBD">
        <w:rPr>
          <w:rFonts w:ascii="Verdana" w:eastAsia="Times New Roman" w:hAnsi="Verdana" w:cstheme="minorHAnsi"/>
          <w:color w:val="000000"/>
          <w:sz w:val="24"/>
          <w:szCs w:val="24"/>
        </w:rPr>
        <w:t>enewable energy is a positive move toward reducing greenhouse gasses from fossil fuels to address climate change impacts and reduce our dependence on foreign oil</w:t>
      </w:r>
    </w:p>
    <w:p w14:paraId="3E800DAE" w14:textId="77777777" w:rsidR="00547FBD" w:rsidRPr="00547FBD" w:rsidRDefault="00547FBD" w:rsidP="00547FBD">
      <w:pPr>
        <w:numPr>
          <w:ilvl w:val="0"/>
          <w:numId w:val="1"/>
        </w:numPr>
        <w:shd w:val="clear" w:color="auto" w:fill="FFFFFF"/>
        <w:spacing w:after="0" w:line="240" w:lineRule="auto"/>
        <w:textAlignment w:val="baseline"/>
        <w:rPr>
          <w:rFonts w:ascii="Verdana" w:eastAsia="Times New Roman" w:hAnsi="Verdana" w:cstheme="minorHAnsi"/>
          <w:color w:val="222222"/>
          <w:sz w:val="24"/>
          <w:szCs w:val="24"/>
        </w:rPr>
      </w:pPr>
      <w:r w:rsidRPr="00547FBD">
        <w:rPr>
          <w:rFonts w:ascii="Verdana" w:eastAsia="Times New Roman" w:hAnsi="Verdana" w:cstheme="minorHAnsi"/>
          <w:color w:val="222222"/>
          <w:sz w:val="24"/>
          <w:szCs w:val="24"/>
        </w:rPr>
        <w:t>According to the Solar Energy Industries Association, the solar industry is set to quadruple over the next decade</w:t>
      </w:r>
    </w:p>
    <w:p w14:paraId="51998EE5"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0B0BDA5C" w14:textId="77777777" w:rsidR="00547FBD" w:rsidRPr="00547FBD" w:rsidRDefault="00547FBD" w:rsidP="00547FBD">
      <w:pPr>
        <w:shd w:val="clear" w:color="auto" w:fill="FFFFFF"/>
        <w:spacing w:after="0" w:line="240" w:lineRule="auto"/>
        <w:ind w:left="2160"/>
        <w:rPr>
          <w:rFonts w:ascii="Times New Roman" w:eastAsia="Times New Roman" w:hAnsi="Times New Roman" w:cs="Times New Roman"/>
          <w:sz w:val="24"/>
          <w:szCs w:val="24"/>
        </w:rPr>
      </w:pPr>
      <w:r w:rsidRPr="00547FBD">
        <w:rPr>
          <w:rFonts w:ascii="Verdana" w:eastAsia="Times New Roman" w:hAnsi="Verdana" w:cs="Times New Roman"/>
          <w:noProof/>
          <w:color w:val="222222"/>
          <w:sz w:val="24"/>
          <w:szCs w:val="24"/>
          <w:bdr w:val="none" w:sz="0" w:space="0" w:color="auto" w:frame="1"/>
        </w:rPr>
        <w:drawing>
          <wp:inline distT="0" distB="0" distL="0" distR="0" wp14:anchorId="573BDF88" wp14:editId="655F2D8F">
            <wp:extent cx="4273550" cy="3346450"/>
            <wp:effectExtent l="12700" t="12700" r="19050" b="19050"/>
            <wp:docPr id="4" name="Picture 4" descr="https://lh4.googleusercontent.com/JJpntrxt07_6Vt_b3oXgrHO9qBPpfqR2Cf_u9_kSPHOIy7kwjSL0vY37-HIVEJ_hZ_d8gtxdXhm8nZaS6ONDe6Sd0CnhMinsiB7b3-LNZIhW62GtNBTqD8q4-CxPW4GzYuYW_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JJpntrxt07_6Vt_b3oXgrHO9qBPpfqR2Cf_u9_kSPHOIy7kwjSL0vY37-HIVEJ_hZ_d8gtxdXhm8nZaS6ONDe6Sd0CnhMinsiB7b3-LNZIhW62GtNBTqD8q4-CxPW4GzYuYW_D0"/>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273550" cy="3346450"/>
                    </a:xfrm>
                    <a:prstGeom prst="rect">
                      <a:avLst/>
                    </a:prstGeom>
                    <a:noFill/>
                    <a:ln w="3175">
                      <a:solidFill>
                        <a:schemeClr val="tx1"/>
                      </a:solidFill>
                    </a:ln>
                  </pic:spPr>
                </pic:pic>
              </a:graphicData>
            </a:graphic>
          </wp:inline>
        </w:drawing>
      </w:r>
    </w:p>
    <w:p w14:paraId="709679A2" w14:textId="77777777" w:rsidR="00547FBD" w:rsidRDefault="00547FBD" w:rsidP="00547FBD">
      <w:pPr>
        <w:shd w:val="clear" w:color="auto" w:fill="FFFFFF"/>
        <w:spacing w:after="0" w:line="240" w:lineRule="auto"/>
        <w:jc w:val="center"/>
        <w:rPr>
          <w:rFonts w:ascii="Verdana" w:eastAsia="Times New Roman" w:hAnsi="Verdana" w:cs="Times New Roman"/>
          <w:i/>
          <w:color w:val="222222"/>
          <w:sz w:val="24"/>
          <w:szCs w:val="24"/>
        </w:rPr>
      </w:pPr>
      <w:r w:rsidRPr="00547FBD">
        <w:rPr>
          <w:rFonts w:ascii="Verdana" w:eastAsia="Times New Roman" w:hAnsi="Verdana" w:cs="Times New Roman"/>
          <w:i/>
          <w:color w:val="222222"/>
          <w:sz w:val="24"/>
          <w:szCs w:val="24"/>
        </w:rPr>
        <w:t xml:space="preserve">Map of existing and proposed major solar projects with example photo </w:t>
      </w:r>
    </w:p>
    <w:p w14:paraId="60C4B5DD" w14:textId="7A2ECDB4" w:rsidR="00547FBD" w:rsidRPr="00547FBD" w:rsidRDefault="00547FBD" w:rsidP="00547FBD">
      <w:pPr>
        <w:shd w:val="clear" w:color="auto" w:fill="FFFFFF"/>
        <w:spacing w:after="0" w:line="240" w:lineRule="auto"/>
        <w:jc w:val="center"/>
        <w:rPr>
          <w:rFonts w:ascii="Times New Roman" w:eastAsia="Times New Roman" w:hAnsi="Times New Roman" w:cs="Times New Roman"/>
          <w:i/>
          <w:sz w:val="24"/>
          <w:szCs w:val="24"/>
        </w:rPr>
      </w:pPr>
      <w:r w:rsidRPr="00547FBD">
        <w:rPr>
          <w:rFonts w:ascii="Verdana" w:eastAsia="Times New Roman" w:hAnsi="Verdana" w:cs="Times New Roman"/>
          <w:i/>
          <w:color w:val="222222"/>
          <w:sz w:val="24"/>
          <w:szCs w:val="24"/>
        </w:rPr>
        <w:t>(Map/data source: SEIA 2022)</w:t>
      </w:r>
    </w:p>
    <w:p w14:paraId="7581D332"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1090254B" w14:textId="77777777" w:rsidR="00547FBD" w:rsidRPr="00547FBD" w:rsidRDefault="00547FBD" w:rsidP="00547FBD">
      <w:pPr>
        <w:shd w:val="clear" w:color="auto" w:fill="FFFFFF"/>
        <w:spacing w:after="0" w:line="240" w:lineRule="auto"/>
        <w:textAlignment w:val="baseline"/>
        <w:rPr>
          <w:rFonts w:ascii="Verdana" w:eastAsia="Times New Roman" w:hAnsi="Verdana" w:cs="Times New Roman"/>
          <w:color w:val="000000"/>
          <w:sz w:val="24"/>
          <w:szCs w:val="24"/>
        </w:rPr>
      </w:pPr>
      <w:r w:rsidRPr="00547FBD">
        <w:rPr>
          <w:rFonts w:ascii="Verdana" w:eastAsia="Times New Roman" w:hAnsi="Verdana" w:cs="Times New Roman"/>
          <w:color w:val="000000"/>
          <w:sz w:val="24"/>
          <w:szCs w:val="24"/>
        </w:rPr>
        <w:t xml:space="preserve">The Chesapeake Bay Program recognized the need to </w:t>
      </w:r>
      <w:r w:rsidRPr="00547FBD">
        <w:rPr>
          <w:rFonts w:ascii="Verdana" w:eastAsia="Times New Roman" w:hAnsi="Verdana" w:cs="Times New Roman"/>
          <w:color w:val="292929"/>
          <w:sz w:val="24"/>
          <w:szCs w:val="24"/>
          <w:shd w:val="clear" w:color="auto" w:fill="FFFFFF"/>
        </w:rPr>
        <w:t>utilize their scientific, modeling, monitoring and planning capabilities to prioritize the communities, working lands and habitats that are most vulnerable to the risks of a changing climate </w:t>
      </w:r>
    </w:p>
    <w:p w14:paraId="04F3791A" w14:textId="77777777" w:rsidR="00547FBD" w:rsidRPr="00547FBD" w:rsidRDefault="00547FBD" w:rsidP="00547FBD">
      <w:pPr>
        <w:numPr>
          <w:ilvl w:val="0"/>
          <w:numId w:val="2"/>
        </w:numPr>
        <w:shd w:val="clear" w:color="auto" w:fill="FFFFFF"/>
        <w:spacing w:after="0" w:line="240" w:lineRule="auto"/>
        <w:textAlignment w:val="baseline"/>
        <w:rPr>
          <w:rFonts w:ascii="Verdana" w:eastAsia="Times New Roman" w:hAnsi="Verdana" w:cs="Times New Roman"/>
          <w:color w:val="000000"/>
          <w:sz w:val="24"/>
          <w:szCs w:val="24"/>
        </w:rPr>
      </w:pPr>
      <w:r w:rsidRPr="00547FBD">
        <w:rPr>
          <w:rFonts w:ascii="Verdana" w:eastAsia="Times New Roman" w:hAnsi="Verdana" w:cs="Times New Roman"/>
          <w:color w:val="292929"/>
          <w:sz w:val="24"/>
          <w:szCs w:val="24"/>
          <w:shd w:val="clear" w:color="auto" w:fill="FFFFFF"/>
        </w:rPr>
        <w:t>The 2021</w:t>
      </w:r>
      <w:hyperlink r:id="rId7" w:history="1">
        <w:r w:rsidRPr="00547FBD">
          <w:rPr>
            <w:rFonts w:ascii="Verdana" w:eastAsia="Times New Roman" w:hAnsi="Verdana" w:cs="Times New Roman"/>
            <w:color w:val="1155CC"/>
            <w:sz w:val="24"/>
            <w:szCs w:val="24"/>
            <w:u w:val="single"/>
          </w:rPr>
          <w:t>Chesapeake Executive Council: Directive No. 21-1 Collective Action for Climate Change</w:t>
        </w:r>
      </w:hyperlink>
    </w:p>
    <w:p w14:paraId="0B799F88" w14:textId="77777777" w:rsidR="00547FBD" w:rsidRPr="00547FBD" w:rsidRDefault="00547FBD" w:rsidP="00547FBD">
      <w:pPr>
        <w:numPr>
          <w:ilvl w:val="0"/>
          <w:numId w:val="2"/>
        </w:numPr>
        <w:shd w:val="clear" w:color="auto" w:fill="FFFFFF"/>
        <w:spacing w:after="0" w:line="240" w:lineRule="auto"/>
        <w:textAlignment w:val="baseline"/>
        <w:rPr>
          <w:rFonts w:ascii="Verdana" w:eastAsia="Times New Roman" w:hAnsi="Verdana" w:cs="Times New Roman"/>
          <w:color w:val="000000"/>
          <w:sz w:val="24"/>
          <w:szCs w:val="24"/>
        </w:rPr>
      </w:pPr>
      <w:r w:rsidRPr="00547FBD">
        <w:rPr>
          <w:rFonts w:ascii="Verdana" w:eastAsia="Times New Roman" w:hAnsi="Verdana" w:cs="Times New Roman"/>
          <w:color w:val="000000"/>
          <w:sz w:val="24"/>
          <w:szCs w:val="24"/>
        </w:rPr>
        <w:t xml:space="preserve">2022 </w:t>
      </w:r>
      <w:hyperlink r:id="rId8" w:history="1">
        <w:r w:rsidRPr="00547FBD">
          <w:rPr>
            <w:rFonts w:ascii="Verdana" w:eastAsia="Times New Roman" w:hAnsi="Verdana" w:cs="Times New Roman"/>
            <w:color w:val="1155CC"/>
            <w:sz w:val="24"/>
            <w:szCs w:val="24"/>
            <w:u w:val="single"/>
          </w:rPr>
          <w:t>Bay 101 Climate Change video</w:t>
        </w:r>
      </w:hyperlink>
    </w:p>
    <w:p w14:paraId="53E9EA04" w14:textId="77777777" w:rsidR="00547FBD" w:rsidRPr="00547FBD" w:rsidRDefault="00547FBD" w:rsidP="00547FBD">
      <w:pPr>
        <w:numPr>
          <w:ilvl w:val="1"/>
          <w:numId w:val="2"/>
        </w:numPr>
        <w:shd w:val="clear" w:color="auto" w:fill="FFFFFF"/>
        <w:spacing w:after="0" w:line="240" w:lineRule="auto"/>
        <w:textAlignment w:val="baseline"/>
        <w:rPr>
          <w:rFonts w:ascii="Verdana" w:eastAsia="Times New Roman" w:hAnsi="Verdana" w:cs="Times New Roman"/>
          <w:color w:val="000000"/>
          <w:sz w:val="24"/>
          <w:szCs w:val="24"/>
        </w:rPr>
      </w:pPr>
      <w:r w:rsidRPr="00547FBD">
        <w:rPr>
          <w:rFonts w:ascii="Verdana" w:eastAsia="Times New Roman" w:hAnsi="Verdana" w:cs="Times New Roman"/>
          <w:color w:val="000000"/>
          <w:sz w:val="24"/>
          <w:szCs w:val="24"/>
        </w:rPr>
        <w:t>(CAC Member Cameo!) </w:t>
      </w:r>
    </w:p>
    <w:p w14:paraId="4FC36B7A" w14:textId="77777777" w:rsidR="00547FBD" w:rsidRPr="00547FBD" w:rsidRDefault="00547FBD" w:rsidP="00547FBD">
      <w:pPr>
        <w:shd w:val="clear" w:color="auto" w:fill="FFFFFF"/>
        <w:spacing w:after="0" w:line="240" w:lineRule="auto"/>
        <w:ind w:left="720"/>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16FF00DD"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b/>
          <w:bCs/>
          <w:color w:val="222222"/>
          <w:sz w:val="24"/>
          <w:szCs w:val="24"/>
        </w:rPr>
        <w:t>What are some of the challenges? What are some reasons that make large-scale solar development controversial?</w:t>
      </w:r>
    </w:p>
    <w:p w14:paraId="4FD0D415" w14:textId="77777777" w:rsidR="00547FBD" w:rsidRPr="00547FBD" w:rsidRDefault="00547FBD" w:rsidP="00547FBD">
      <w:pPr>
        <w:numPr>
          <w:ilvl w:val="0"/>
          <w:numId w:val="3"/>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Land use changes for forests and agricultural lands</w:t>
      </w:r>
    </w:p>
    <w:p w14:paraId="19651381" w14:textId="77777777" w:rsidR="00547FBD" w:rsidRPr="00547FBD" w:rsidRDefault="00547FBD" w:rsidP="00547FBD">
      <w:pPr>
        <w:numPr>
          <w:ilvl w:val="0"/>
          <w:numId w:val="3"/>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Erosion from site affecting nearby streams and properties</w:t>
      </w:r>
    </w:p>
    <w:p w14:paraId="55AA0897" w14:textId="77777777" w:rsidR="00547FBD" w:rsidRPr="00547FBD" w:rsidRDefault="00547FBD" w:rsidP="00547FBD">
      <w:pPr>
        <w:numPr>
          <w:ilvl w:val="0"/>
          <w:numId w:val="3"/>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 xml:space="preserve">Change in </w:t>
      </w:r>
      <w:proofErr w:type="spellStart"/>
      <w:r w:rsidRPr="00547FBD">
        <w:rPr>
          <w:rFonts w:ascii="Verdana" w:eastAsia="Times New Roman" w:hAnsi="Verdana" w:cs="Times New Roman"/>
          <w:color w:val="222222"/>
          <w:sz w:val="24"/>
          <w:szCs w:val="24"/>
        </w:rPr>
        <w:t>viewscape</w:t>
      </w:r>
      <w:proofErr w:type="spellEnd"/>
      <w:r w:rsidRPr="00547FBD">
        <w:rPr>
          <w:rFonts w:ascii="Verdana" w:eastAsia="Times New Roman" w:hAnsi="Verdana" w:cs="Times New Roman"/>
          <w:color w:val="222222"/>
          <w:sz w:val="24"/>
          <w:szCs w:val="24"/>
        </w:rPr>
        <w:t>, nuisance glare from panels</w:t>
      </w:r>
    </w:p>
    <w:p w14:paraId="771862B1" w14:textId="77777777" w:rsidR="00547FBD" w:rsidRPr="00547FBD" w:rsidRDefault="00547FBD" w:rsidP="00547FBD">
      <w:pPr>
        <w:numPr>
          <w:ilvl w:val="0"/>
          <w:numId w:val="3"/>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Perceived or feared decline in nearby property values</w:t>
      </w:r>
    </w:p>
    <w:p w14:paraId="75A574C7" w14:textId="08039E3B"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lastRenderedPageBreak/>
        <w:t> </w:t>
      </w:r>
      <w:r w:rsidRPr="00547FBD">
        <w:rPr>
          <w:rFonts w:ascii="Verdana" w:eastAsia="Times New Roman" w:hAnsi="Verdana" w:cs="Times New Roman"/>
          <w:b/>
          <w:bCs/>
          <w:color w:val="222222"/>
          <w:sz w:val="24"/>
          <w:szCs w:val="24"/>
        </w:rPr>
        <w:t>What is the connection between solar development and local water quality?</w:t>
      </w:r>
    </w:p>
    <w:p w14:paraId="677DF8E4" w14:textId="65A7906B" w:rsidR="00547FBD" w:rsidRPr="00547FBD" w:rsidRDefault="00B410C5" w:rsidP="00547FBD">
      <w:pPr>
        <w:numPr>
          <w:ilvl w:val="0"/>
          <w:numId w:val="4"/>
        </w:numPr>
        <w:shd w:val="clear" w:color="auto" w:fill="FFFFFF"/>
        <w:spacing w:after="0" w:line="240" w:lineRule="auto"/>
        <w:textAlignment w:val="baseline"/>
        <w:rPr>
          <w:rFonts w:ascii="Verdana" w:eastAsia="Times New Roman" w:hAnsi="Verdana" w:cs="Times New Roman"/>
          <w:color w:val="222222"/>
          <w:sz w:val="24"/>
          <w:szCs w:val="24"/>
        </w:rPr>
      </w:pPr>
      <w:r>
        <w:rPr>
          <w:rFonts w:ascii="Verdana" w:eastAsia="Times New Roman" w:hAnsi="Verdana" w:cs="Times New Roman"/>
          <w:color w:val="222222"/>
          <w:sz w:val="24"/>
          <w:szCs w:val="24"/>
        </w:rPr>
        <w:t>S</w:t>
      </w:r>
      <w:r w:rsidR="00547FBD" w:rsidRPr="00547FBD">
        <w:rPr>
          <w:rFonts w:ascii="Verdana" w:eastAsia="Times New Roman" w:hAnsi="Verdana" w:cs="Times New Roman"/>
          <w:color w:val="222222"/>
          <w:sz w:val="24"/>
          <w:szCs w:val="24"/>
        </w:rPr>
        <w:t>iting on agricultural lands that could be used for sustainable farming that provides food and healthy soils that capture carbon</w:t>
      </w:r>
    </w:p>
    <w:p w14:paraId="66C233BE" w14:textId="37B2B805" w:rsidR="00547FBD" w:rsidRPr="00547FBD" w:rsidRDefault="00B410C5" w:rsidP="00547FBD">
      <w:pPr>
        <w:numPr>
          <w:ilvl w:val="0"/>
          <w:numId w:val="4"/>
        </w:numPr>
        <w:shd w:val="clear" w:color="auto" w:fill="FFFFFF"/>
        <w:spacing w:after="0" w:line="240" w:lineRule="auto"/>
        <w:textAlignment w:val="baseline"/>
        <w:rPr>
          <w:rFonts w:ascii="Verdana" w:eastAsia="Times New Roman" w:hAnsi="Verdana" w:cs="Times New Roman"/>
          <w:color w:val="222222"/>
          <w:sz w:val="24"/>
          <w:szCs w:val="24"/>
        </w:rPr>
      </w:pPr>
      <w:r>
        <w:rPr>
          <w:rFonts w:ascii="Verdana" w:eastAsia="Times New Roman" w:hAnsi="Verdana" w:cs="Times New Roman"/>
          <w:color w:val="222222"/>
          <w:sz w:val="24"/>
          <w:szCs w:val="24"/>
        </w:rPr>
        <w:t>S</w:t>
      </w:r>
      <w:r w:rsidR="00547FBD" w:rsidRPr="00547FBD">
        <w:rPr>
          <w:rFonts w:ascii="Verdana" w:eastAsia="Times New Roman" w:hAnsi="Verdana" w:cs="Times New Roman"/>
          <w:color w:val="222222"/>
          <w:sz w:val="24"/>
          <w:szCs w:val="24"/>
        </w:rPr>
        <w:t xml:space="preserve">iting on forested lands that clean air, capture carbon, filter water, control erosion, </w:t>
      </w:r>
      <w:r>
        <w:rPr>
          <w:rFonts w:ascii="Verdana" w:eastAsia="Times New Roman" w:hAnsi="Verdana" w:cs="Times New Roman"/>
          <w:color w:val="222222"/>
          <w:sz w:val="24"/>
          <w:szCs w:val="24"/>
        </w:rPr>
        <w:t xml:space="preserve">and </w:t>
      </w:r>
      <w:r w:rsidR="00547FBD" w:rsidRPr="00547FBD">
        <w:rPr>
          <w:rFonts w:ascii="Verdana" w:eastAsia="Times New Roman" w:hAnsi="Verdana" w:cs="Times New Roman"/>
          <w:color w:val="222222"/>
          <w:sz w:val="24"/>
          <w:szCs w:val="24"/>
        </w:rPr>
        <w:t>sustain biodiversity, habitat and recreation</w:t>
      </w:r>
    </w:p>
    <w:p w14:paraId="4347F5F6" w14:textId="77777777" w:rsidR="00547FBD" w:rsidRPr="00547FBD" w:rsidRDefault="00547FBD" w:rsidP="00547FBD">
      <w:pPr>
        <w:numPr>
          <w:ilvl w:val="0"/>
          <w:numId w:val="4"/>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Erosion and sediment control during construction </w:t>
      </w:r>
    </w:p>
    <w:p w14:paraId="3AB3B476" w14:textId="77777777" w:rsidR="00547FBD" w:rsidRPr="00547FBD" w:rsidRDefault="00547FBD" w:rsidP="00547FBD">
      <w:pPr>
        <w:numPr>
          <w:ilvl w:val="0"/>
          <w:numId w:val="4"/>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Post - construction stormwater runoff from impervious surface of solar arrays and surrounding land</w:t>
      </w:r>
    </w:p>
    <w:p w14:paraId="1B1EE165" w14:textId="77777777" w:rsidR="00547FBD" w:rsidRPr="00547FBD" w:rsidRDefault="00547FBD" w:rsidP="00547FBD">
      <w:pPr>
        <w:shd w:val="clear" w:color="auto" w:fill="FFFFFF"/>
        <w:spacing w:after="0" w:line="240" w:lineRule="auto"/>
        <w:ind w:left="720"/>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0AB9A0F5"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color w:val="222222"/>
          <w:sz w:val="24"/>
          <w:szCs w:val="24"/>
        </w:rPr>
        <w:t xml:space="preserve">Some </w:t>
      </w:r>
      <w:hyperlink r:id="rId9" w:history="1">
        <w:r w:rsidRPr="00547FBD">
          <w:rPr>
            <w:rFonts w:ascii="Verdana" w:eastAsia="Times New Roman" w:hAnsi="Verdana" w:cs="Times New Roman"/>
            <w:i/>
            <w:iCs/>
            <w:color w:val="222222"/>
            <w:sz w:val="24"/>
            <w:szCs w:val="24"/>
            <w:u w:val="single"/>
          </w:rPr>
          <w:t>Chesapeake Bay Watershed Agreement</w:t>
        </w:r>
      </w:hyperlink>
      <w:r w:rsidRPr="00547FBD">
        <w:rPr>
          <w:rFonts w:ascii="Verdana" w:eastAsia="Times New Roman" w:hAnsi="Verdana" w:cs="Times New Roman"/>
          <w:color w:val="222222"/>
          <w:sz w:val="24"/>
          <w:szCs w:val="24"/>
        </w:rPr>
        <w:t xml:space="preserve"> goals and outcomes that could be impacted by large scale solar development without careful siting and stormwater management considerations:</w:t>
      </w:r>
    </w:p>
    <w:p w14:paraId="0E609280" w14:textId="77777777" w:rsidR="00547FBD" w:rsidRPr="00547FBD" w:rsidRDefault="00547FBD" w:rsidP="00547FBD">
      <w:pPr>
        <w:numPr>
          <w:ilvl w:val="0"/>
          <w:numId w:val="5"/>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Forest Buffers Outcome</w:t>
      </w:r>
    </w:p>
    <w:p w14:paraId="29E0F485" w14:textId="77777777" w:rsidR="00547FBD" w:rsidRPr="00547FBD" w:rsidRDefault="00547FBD" w:rsidP="00547FBD">
      <w:pPr>
        <w:numPr>
          <w:ilvl w:val="0"/>
          <w:numId w:val="5"/>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Protected Lands Outcome for wetlands and forest lands</w:t>
      </w:r>
    </w:p>
    <w:p w14:paraId="361158C0" w14:textId="77777777" w:rsidR="00547FBD" w:rsidRPr="00547FBD" w:rsidRDefault="00547FBD" w:rsidP="00547FBD">
      <w:pPr>
        <w:numPr>
          <w:ilvl w:val="0"/>
          <w:numId w:val="5"/>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Stream Health Outcome</w:t>
      </w:r>
    </w:p>
    <w:p w14:paraId="52868DB3" w14:textId="34CBC2F9" w:rsidR="00547FBD" w:rsidRPr="00547FBD" w:rsidRDefault="00547FBD" w:rsidP="00547FBD">
      <w:pPr>
        <w:numPr>
          <w:ilvl w:val="0"/>
          <w:numId w:val="5"/>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Water Quality and 2025 Watershed Implementation Plan</w:t>
      </w:r>
      <w:r w:rsidR="003A52E4">
        <w:rPr>
          <w:rFonts w:ascii="Verdana" w:eastAsia="Times New Roman" w:hAnsi="Verdana" w:cs="Times New Roman"/>
          <w:color w:val="222222"/>
          <w:sz w:val="24"/>
          <w:szCs w:val="24"/>
        </w:rPr>
        <w:t xml:space="preserve"> </w:t>
      </w:r>
      <w:r w:rsidRPr="00547FBD">
        <w:rPr>
          <w:rFonts w:ascii="Verdana" w:eastAsia="Times New Roman" w:hAnsi="Verdana" w:cs="Times New Roman"/>
          <w:color w:val="222222"/>
          <w:sz w:val="24"/>
          <w:szCs w:val="24"/>
        </w:rPr>
        <w:t>(WIP) Outcome</w:t>
      </w:r>
    </w:p>
    <w:p w14:paraId="0EF6DE9A"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2FC673DE"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color w:val="222222"/>
          <w:sz w:val="24"/>
          <w:szCs w:val="24"/>
          <w:shd w:val="clear" w:color="auto" w:fill="FFFFFF"/>
        </w:rPr>
        <w:t xml:space="preserve">According to an April 2022 Bay Journal article entitled, </w:t>
      </w:r>
      <w:hyperlink r:id="rId10" w:history="1">
        <w:r w:rsidRPr="00547FBD">
          <w:rPr>
            <w:rFonts w:ascii="Verdana" w:eastAsia="Times New Roman" w:hAnsi="Verdana" w:cs="Times New Roman"/>
            <w:color w:val="1A73E8"/>
            <w:sz w:val="24"/>
            <w:szCs w:val="24"/>
            <w:u w:val="single"/>
            <w:shd w:val="clear" w:color="auto" w:fill="FFFFFF"/>
          </w:rPr>
          <w:t>More than 800 solar projects in Bay states stuck waiting for review</w:t>
        </w:r>
      </w:hyperlink>
    </w:p>
    <w:p w14:paraId="6B57CEC8" w14:textId="77777777" w:rsidR="00547FBD" w:rsidRPr="00547FBD" w:rsidRDefault="00547FBD" w:rsidP="00547FBD">
      <w:pPr>
        <w:numPr>
          <w:ilvl w:val="0"/>
          <w:numId w:val="6"/>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shd w:val="clear" w:color="auto" w:fill="FFFFFF"/>
        </w:rPr>
        <w:t>Bay states have adopted aggressive climate-change mitigation policies that rely on renewable energy. </w:t>
      </w:r>
    </w:p>
    <w:p w14:paraId="22A4C545" w14:textId="77777777" w:rsidR="00547FBD" w:rsidRPr="00547FBD" w:rsidRDefault="00547FBD" w:rsidP="00547FBD">
      <w:pPr>
        <w:numPr>
          <w:ilvl w:val="0"/>
          <w:numId w:val="6"/>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shd w:val="clear" w:color="auto" w:fill="FFFFFF"/>
        </w:rPr>
        <w:t>Solar made up more than half of all new electricity generated in the United States during the first three quarters of 2021, according to the Solar Energy Industries Association.</w:t>
      </w:r>
    </w:p>
    <w:p w14:paraId="2630B039" w14:textId="0AB0AB79" w:rsidR="00547FBD" w:rsidRPr="00547FBD" w:rsidRDefault="00547FBD" w:rsidP="00547FBD">
      <w:pPr>
        <w:numPr>
          <w:ilvl w:val="0"/>
          <w:numId w:val="6"/>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shd w:val="clear" w:color="auto" w:fill="FFFFFF"/>
        </w:rPr>
        <w:t xml:space="preserve">There will be a proposed </w:t>
      </w:r>
      <w:r w:rsidR="0097114A" w:rsidRPr="00547FBD">
        <w:rPr>
          <w:rFonts w:ascii="Verdana" w:eastAsia="Times New Roman" w:hAnsi="Verdana" w:cs="Times New Roman"/>
          <w:color w:val="222222"/>
          <w:sz w:val="24"/>
          <w:szCs w:val="24"/>
          <w:shd w:val="clear" w:color="auto" w:fill="FFFFFF"/>
        </w:rPr>
        <w:t>fast-tracked</w:t>
      </w:r>
      <w:r w:rsidRPr="00547FBD">
        <w:rPr>
          <w:rFonts w:ascii="Verdana" w:eastAsia="Times New Roman" w:hAnsi="Verdana" w:cs="Times New Roman"/>
          <w:color w:val="222222"/>
          <w:sz w:val="24"/>
          <w:szCs w:val="24"/>
          <w:shd w:val="clear" w:color="auto" w:fill="FFFFFF"/>
        </w:rPr>
        <w:t xml:space="preserve"> process to relieve the log jam of reviews</w:t>
      </w:r>
    </w:p>
    <w:p w14:paraId="34E5517A" w14:textId="77777777" w:rsidR="00547FBD" w:rsidRPr="00547FBD" w:rsidRDefault="00547FBD" w:rsidP="00547FBD">
      <w:pPr>
        <w:numPr>
          <w:ilvl w:val="0"/>
          <w:numId w:val="6"/>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Solar projects waiting for review</w:t>
      </w:r>
    </w:p>
    <w:p w14:paraId="5C7375D5" w14:textId="77777777" w:rsidR="00547FBD" w:rsidRPr="00547FBD" w:rsidRDefault="00547FBD" w:rsidP="00547FBD">
      <w:pPr>
        <w:numPr>
          <w:ilvl w:val="1"/>
          <w:numId w:val="6"/>
        </w:numPr>
        <w:shd w:val="clear" w:color="auto" w:fill="FFFFFF"/>
        <w:spacing w:after="0" w:line="240" w:lineRule="auto"/>
        <w:textAlignment w:val="baseline"/>
        <w:rPr>
          <w:rFonts w:ascii="Arial" w:eastAsia="Times New Roman" w:hAnsi="Arial" w:cs="Arial"/>
          <w:color w:val="000000"/>
          <w:sz w:val="24"/>
          <w:szCs w:val="24"/>
        </w:rPr>
      </w:pPr>
      <w:r w:rsidRPr="00547FBD">
        <w:rPr>
          <w:rFonts w:ascii="Verdana" w:eastAsia="Times New Roman" w:hAnsi="Verdana" w:cs="Arial"/>
          <w:b/>
          <w:bCs/>
          <w:color w:val="222222"/>
          <w:sz w:val="24"/>
          <w:szCs w:val="24"/>
        </w:rPr>
        <w:t xml:space="preserve">Maryland: </w:t>
      </w:r>
      <w:r w:rsidRPr="00547FBD">
        <w:rPr>
          <w:rFonts w:ascii="Verdana" w:eastAsia="Times New Roman" w:hAnsi="Verdana" w:cs="Arial"/>
          <w:color w:val="222222"/>
          <w:sz w:val="24"/>
          <w:szCs w:val="24"/>
        </w:rPr>
        <w:t>48 projects, potential power capacity of 2,502 megawatts (enough to power 410,000 homes)</w:t>
      </w:r>
    </w:p>
    <w:p w14:paraId="547C5547" w14:textId="77777777" w:rsidR="00547FBD" w:rsidRPr="00547FBD" w:rsidRDefault="00547FBD" w:rsidP="00547FBD">
      <w:pPr>
        <w:numPr>
          <w:ilvl w:val="1"/>
          <w:numId w:val="6"/>
        </w:numPr>
        <w:shd w:val="clear" w:color="auto" w:fill="FFFFFF"/>
        <w:spacing w:after="0" w:line="240" w:lineRule="auto"/>
        <w:textAlignment w:val="baseline"/>
        <w:rPr>
          <w:rFonts w:ascii="Arial" w:eastAsia="Times New Roman" w:hAnsi="Arial" w:cs="Arial"/>
          <w:color w:val="000000"/>
          <w:sz w:val="24"/>
          <w:szCs w:val="24"/>
        </w:rPr>
      </w:pPr>
      <w:r w:rsidRPr="00547FBD">
        <w:rPr>
          <w:rFonts w:ascii="Verdana" w:eastAsia="Times New Roman" w:hAnsi="Verdana" w:cs="Arial"/>
          <w:b/>
          <w:bCs/>
          <w:color w:val="222222"/>
          <w:sz w:val="24"/>
          <w:szCs w:val="24"/>
        </w:rPr>
        <w:t xml:space="preserve">Pennsylvania: </w:t>
      </w:r>
      <w:r w:rsidRPr="00547FBD">
        <w:rPr>
          <w:rFonts w:ascii="Verdana" w:eastAsia="Times New Roman" w:hAnsi="Verdana" w:cs="Arial"/>
          <w:color w:val="222222"/>
          <w:sz w:val="24"/>
          <w:szCs w:val="24"/>
        </w:rPr>
        <w:t>443 projects, potential power capacity of 8,854 megawatts (enough to power 1.4 million homes)</w:t>
      </w:r>
    </w:p>
    <w:p w14:paraId="40E06A05" w14:textId="77777777" w:rsidR="00547FBD" w:rsidRPr="00547FBD" w:rsidRDefault="00547FBD" w:rsidP="00547FBD">
      <w:pPr>
        <w:numPr>
          <w:ilvl w:val="1"/>
          <w:numId w:val="6"/>
        </w:numPr>
        <w:shd w:val="clear" w:color="auto" w:fill="FFFFFF"/>
        <w:spacing w:after="0" w:line="240" w:lineRule="auto"/>
        <w:textAlignment w:val="baseline"/>
        <w:rPr>
          <w:rFonts w:ascii="Arial" w:eastAsia="Times New Roman" w:hAnsi="Arial" w:cs="Arial"/>
          <w:color w:val="000000"/>
          <w:sz w:val="24"/>
          <w:szCs w:val="24"/>
        </w:rPr>
      </w:pPr>
      <w:r w:rsidRPr="00547FBD">
        <w:rPr>
          <w:rFonts w:ascii="Verdana" w:eastAsia="Times New Roman" w:hAnsi="Verdana" w:cs="Arial"/>
          <w:b/>
          <w:bCs/>
          <w:color w:val="222222"/>
          <w:sz w:val="24"/>
          <w:szCs w:val="24"/>
        </w:rPr>
        <w:t xml:space="preserve">Virginia: </w:t>
      </w:r>
      <w:r w:rsidRPr="00547FBD">
        <w:rPr>
          <w:rFonts w:ascii="Verdana" w:eastAsia="Times New Roman" w:hAnsi="Verdana" w:cs="Arial"/>
          <w:color w:val="222222"/>
          <w:sz w:val="24"/>
          <w:szCs w:val="24"/>
        </w:rPr>
        <w:t>416 projects, potential power capacity of 22,679 megawatts (enough to power 3.7 million homes)</w:t>
      </w:r>
    </w:p>
    <w:p w14:paraId="7C502ADD"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7882EE7D" w14:textId="77777777" w:rsidR="003A52E4" w:rsidRDefault="00547FBD" w:rsidP="003A52E4">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i/>
          <w:iCs/>
          <w:color w:val="000000"/>
          <w:sz w:val="24"/>
          <w:szCs w:val="24"/>
        </w:rPr>
        <w:t>The Issue: While renewable energy is a positive move toward reducing greenhouse gasses from fossil fuels to address climate change impacts on the Chesapeake Watershed, is the recent boom in solar farms increasing the challenge to meet water quality goals in unintended but avoidable ways? </w:t>
      </w:r>
    </w:p>
    <w:p w14:paraId="710D55ED" w14:textId="245E2542" w:rsidR="003A52E4" w:rsidRPr="003A52E4" w:rsidRDefault="003A52E4" w:rsidP="003A52E4">
      <w:pPr>
        <w:shd w:val="clear" w:color="auto" w:fill="FFFFFF"/>
        <w:spacing w:after="0" w:line="240" w:lineRule="auto"/>
        <w:rPr>
          <w:rFonts w:ascii="Verdana" w:eastAsia="Times New Roman" w:hAnsi="Verdana" w:cs="Times New Roman"/>
          <w:b/>
          <w:bCs/>
          <w:color w:val="222222"/>
          <w:kern w:val="36"/>
          <w:sz w:val="24"/>
          <w:szCs w:val="24"/>
        </w:rPr>
      </w:pPr>
    </w:p>
    <w:p w14:paraId="11ACACA7" w14:textId="28A8DC04" w:rsidR="00547FBD" w:rsidRPr="00547FBD" w:rsidRDefault="00547FBD" w:rsidP="003A52E4">
      <w:pPr>
        <w:shd w:val="clear" w:color="auto" w:fill="FFFFFF"/>
        <w:spacing w:after="0" w:line="240" w:lineRule="auto"/>
        <w:rPr>
          <w:rFonts w:ascii="Times New Roman" w:eastAsia="Times New Roman" w:hAnsi="Times New Roman" w:cs="Times New Roman"/>
          <w:b/>
          <w:bCs/>
          <w:kern w:val="36"/>
          <w:sz w:val="48"/>
          <w:szCs w:val="48"/>
        </w:rPr>
      </w:pPr>
      <w:r w:rsidRPr="00547FBD">
        <w:rPr>
          <w:rFonts w:ascii="Verdana" w:eastAsia="Times New Roman" w:hAnsi="Verdana" w:cs="Times New Roman"/>
          <w:b/>
          <w:bCs/>
          <w:color w:val="222222"/>
          <w:kern w:val="36"/>
          <w:sz w:val="24"/>
          <w:szCs w:val="24"/>
        </w:rPr>
        <w:t>What the panel aims to uncover</w:t>
      </w:r>
    </w:p>
    <w:p w14:paraId="28684DBF"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i/>
          <w:iCs/>
          <w:color w:val="000000"/>
          <w:sz w:val="24"/>
          <w:szCs w:val="24"/>
        </w:rPr>
        <w:t>Objective: Understand the trends and drivers of large-scale solar development, the associated water quality impacts and some best practices to protect local water quality. </w:t>
      </w:r>
    </w:p>
    <w:p w14:paraId="4EDFAC7C" w14:textId="2471E418"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75E8E231" w14:textId="36AEFA4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color w:val="222222"/>
          <w:sz w:val="24"/>
          <w:szCs w:val="24"/>
        </w:rPr>
        <w:t>Section One: Research &amp; Science </w:t>
      </w:r>
    </w:p>
    <w:p w14:paraId="023A6725" w14:textId="77777777" w:rsidR="00547FBD" w:rsidRPr="00547FBD" w:rsidRDefault="00547FBD" w:rsidP="00547FBD">
      <w:pPr>
        <w:numPr>
          <w:ilvl w:val="0"/>
          <w:numId w:val="7"/>
        </w:numPr>
        <w:shd w:val="clear" w:color="auto" w:fill="FFFFFF"/>
        <w:spacing w:after="0" w:line="240" w:lineRule="auto"/>
        <w:textAlignment w:val="baseline"/>
        <w:rPr>
          <w:rFonts w:ascii="Verdana" w:eastAsia="Times New Roman" w:hAnsi="Verdana" w:cs="Times New Roman"/>
          <w:color w:val="000000"/>
          <w:sz w:val="24"/>
          <w:szCs w:val="24"/>
        </w:rPr>
      </w:pPr>
      <w:r w:rsidRPr="00547FBD">
        <w:rPr>
          <w:rFonts w:ascii="Verdana" w:eastAsia="Times New Roman" w:hAnsi="Verdana" w:cs="Times New Roman"/>
          <w:color w:val="000000"/>
          <w:sz w:val="24"/>
          <w:szCs w:val="24"/>
        </w:rPr>
        <w:t>Land Consumption</w:t>
      </w:r>
    </w:p>
    <w:p w14:paraId="159394F1" w14:textId="77777777" w:rsidR="00547FBD" w:rsidRPr="00547FBD" w:rsidRDefault="00547FBD" w:rsidP="00547FBD">
      <w:pPr>
        <w:numPr>
          <w:ilvl w:val="0"/>
          <w:numId w:val="7"/>
        </w:numPr>
        <w:shd w:val="clear" w:color="auto" w:fill="FFFFFF"/>
        <w:spacing w:after="0" w:line="240" w:lineRule="auto"/>
        <w:textAlignment w:val="baseline"/>
        <w:rPr>
          <w:rFonts w:ascii="Verdana" w:eastAsia="Times New Roman" w:hAnsi="Verdana" w:cs="Times New Roman"/>
          <w:color w:val="000000"/>
          <w:sz w:val="24"/>
          <w:szCs w:val="24"/>
        </w:rPr>
      </w:pPr>
      <w:r w:rsidRPr="00547FBD">
        <w:rPr>
          <w:rFonts w:ascii="Verdana" w:eastAsia="Times New Roman" w:hAnsi="Verdana" w:cs="Times New Roman"/>
          <w:color w:val="000000"/>
          <w:sz w:val="24"/>
          <w:szCs w:val="24"/>
        </w:rPr>
        <w:t>Local Opposition</w:t>
      </w:r>
    </w:p>
    <w:p w14:paraId="59C59241" w14:textId="77777777" w:rsidR="00547FBD" w:rsidRPr="00547FBD" w:rsidRDefault="00547FBD" w:rsidP="00547FBD">
      <w:pPr>
        <w:numPr>
          <w:ilvl w:val="0"/>
          <w:numId w:val="7"/>
        </w:numPr>
        <w:shd w:val="clear" w:color="auto" w:fill="FFFFFF"/>
        <w:spacing w:after="0" w:line="240" w:lineRule="auto"/>
        <w:textAlignment w:val="baseline"/>
        <w:rPr>
          <w:rFonts w:ascii="Verdana" w:eastAsia="Times New Roman" w:hAnsi="Verdana" w:cs="Times New Roman"/>
          <w:color w:val="000000"/>
          <w:sz w:val="24"/>
          <w:szCs w:val="24"/>
        </w:rPr>
      </w:pPr>
      <w:r w:rsidRPr="00547FBD">
        <w:rPr>
          <w:rFonts w:ascii="Verdana" w:eastAsia="Times New Roman" w:hAnsi="Verdana" w:cs="Times New Roman"/>
          <w:color w:val="000000"/>
          <w:sz w:val="24"/>
          <w:szCs w:val="24"/>
        </w:rPr>
        <w:t>Co-location</w:t>
      </w:r>
    </w:p>
    <w:p w14:paraId="0B88BB02" w14:textId="77777777" w:rsidR="00547FBD" w:rsidRPr="00547FBD" w:rsidRDefault="00547FBD" w:rsidP="00547FBD">
      <w:pPr>
        <w:numPr>
          <w:ilvl w:val="0"/>
          <w:numId w:val="7"/>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State and local tensions</w:t>
      </w:r>
    </w:p>
    <w:p w14:paraId="177AE4B7" w14:textId="77777777" w:rsidR="00547FBD" w:rsidRPr="00547FBD" w:rsidRDefault="00547FBD" w:rsidP="00547FBD">
      <w:pPr>
        <w:numPr>
          <w:ilvl w:val="0"/>
          <w:numId w:val="7"/>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Competing Policies</w:t>
      </w:r>
    </w:p>
    <w:p w14:paraId="60A501AB" w14:textId="77777777" w:rsidR="00547FBD" w:rsidRPr="00547FBD" w:rsidRDefault="00547FBD" w:rsidP="00547FBD">
      <w:pPr>
        <w:numPr>
          <w:ilvl w:val="0"/>
          <w:numId w:val="7"/>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Examples of Ordinances/Recommended Practices to protect water quality</w:t>
      </w:r>
    </w:p>
    <w:p w14:paraId="353DD803"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lastRenderedPageBreak/>
        <w:t> </w:t>
      </w:r>
    </w:p>
    <w:p w14:paraId="2094AB3B"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color w:val="222222"/>
          <w:sz w:val="24"/>
          <w:szCs w:val="24"/>
        </w:rPr>
        <w:t>Section Two: Perspectives</w:t>
      </w:r>
    </w:p>
    <w:p w14:paraId="0279BC7F" w14:textId="77777777" w:rsidR="00547FBD" w:rsidRPr="00547FBD" w:rsidRDefault="00547FBD" w:rsidP="00547FBD">
      <w:pPr>
        <w:numPr>
          <w:ilvl w:val="0"/>
          <w:numId w:val="8"/>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Snapshot of issues in VA/MD/PA from a state agency level</w:t>
      </w:r>
    </w:p>
    <w:p w14:paraId="1341013F" w14:textId="77777777" w:rsidR="00547FBD" w:rsidRPr="00547FBD" w:rsidRDefault="00547FBD" w:rsidP="00547FBD">
      <w:pPr>
        <w:numPr>
          <w:ilvl w:val="0"/>
          <w:numId w:val="8"/>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Industry insights</w:t>
      </w:r>
    </w:p>
    <w:p w14:paraId="3FD98EB4"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18445E71"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color w:val="222222"/>
          <w:sz w:val="24"/>
          <w:szCs w:val="24"/>
        </w:rPr>
        <w:t>Post-Meeting:</w:t>
      </w:r>
    </w:p>
    <w:p w14:paraId="11E7E0BB"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color w:val="222222"/>
          <w:sz w:val="24"/>
          <w:szCs w:val="24"/>
        </w:rPr>
        <w:t>The EI Subcommittee will discuss and develop recommendations for CAC consideration based on: CAC feedback during the discussion, learning from the speakers and additional research.  </w:t>
      </w:r>
    </w:p>
    <w:p w14:paraId="07A52AF2"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666D448D"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i/>
          <w:iCs/>
          <w:color w:val="222222"/>
          <w:sz w:val="24"/>
          <w:szCs w:val="24"/>
        </w:rPr>
        <w:t>Upcoming </w:t>
      </w:r>
    </w:p>
    <w:p w14:paraId="08EBCFBC" w14:textId="77777777" w:rsidR="00547FBD" w:rsidRPr="00547FBD" w:rsidRDefault="009F109B" w:rsidP="00547FBD">
      <w:pPr>
        <w:numPr>
          <w:ilvl w:val="0"/>
          <w:numId w:val="9"/>
        </w:numPr>
        <w:shd w:val="clear" w:color="auto" w:fill="FFFFFF"/>
        <w:spacing w:after="0" w:line="240" w:lineRule="auto"/>
        <w:textAlignment w:val="baseline"/>
        <w:rPr>
          <w:rFonts w:ascii="Verdana" w:eastAsia="Times New Roman" w:hAnsi="Verdana" w:cs="Times New Roman"/>
          <w:color w:val="222222"/>
          <w:sz w:val="24"/>
          <w:szCs w:val="24"/>
        </w:rPr>
      </w:pPr>
      <w:hyperlink r:id="rId11" w:history="1">
        <w:r w:rsidR="00547FBD" w:rsidRPr="00547FBD">
          <w:rPr>
            <w:rFonts w:ascii="Verdana" w:eastAsia="Times New Roman" w:hAnsi="Verdana" w:cs="Times New Roman"/>
            <w:color w:val="1155CC"/>
            <w:sz w:val="24"/>
            <w:szCs w:val="24"/>
            <w:u w:val="single"/>
          </w:rPr>
          <w:t>STAC – Chesapeake Bay Scientific and Technical Advisory Committee</w:t>
        </w:r>
      </w:hyperlink>
      <w:r w:rsidR="00547FBD" w:rsidRPr="00547FBD">
        <w:rPr>
          <w:rFonts w:ascii="Verdana" w:eastAsia="Times New Roman" w:hAnsi="Verdana" w:cs="Times New Roman"/>
          <w:color w:val="222222"/>
          <w:sz w:val="24"/>
          <w:szCs w:val="24"/>
        </w:rPr>
        <w:t> </w:t>
      </w:r>
    </w:p>
    <w:p w14:paraId="598D1219" w14:textId="77777777" w:rsidR="00547FBD" w:rsidRPr="00547FBD" w:rsidRDefault="00547FBD" w:rsidP="00547FBD">
      <w:pPr>
        <w:shd w:val="clear" w:color="auto" w:fill="FFFFFF"/>
        <w:spacing w:after="0" w:line="240" w:lineRule="auto"/>
        <w:ind w:left="720"/>
        <w:rPr>
          <w:rFonts w:ascii="Times New Roman" w:eastAsia="Times New Roman" w:hAnsi="Times New Roman" w:cs="Times New Roman"/>
          <w:sz w:val="24"/>
          <w:szCs w:val="24"/>
        </w:rPr>
      </w:pPr>
      <w:r w:rsidRPr="00547FBD">
        <w:rPr>
          <w:rFonts w:ascii="Verdana" w:eastAsia="Times New Roman" w:hAnsi="Verdana" w:cs="Times New Roman"/>
          <w:color w:val="222222"/>
          <w:sz w:val="24"/>
          <w:szCs w:val="24"/>
        </w:rPr>
        <w:t>FY22 State of Science Workshop: Best Management Practices to minimize impacts of solar farms on landscape hydrology and water quality</w:t>
      </w:r>
    </w:p>
    <w:p w14:paraId="13FC28C5" w14:textId="77777777" w:rsidR="00547FBD" w:rsidRPr="00547FBD" w:rsidRDefault="00547FBD" w:rsidP="00547FBD">
      <w:pPr>
        <w:numPr>
          <w:ilvl w:val="0"/>
          <w:numId w:val="10"/>
        </w:numPr>
        <w:shd w:val="clear" w:color="auto" w:fill="FFFFFF"/>
        <w:spacing w:after="0" w:line="240" w:lineRule="auto"/>
        <w:textAlignment w:val="baseline"/>
        <w:rPr>
          <w:rFonts w:ascii="Verdana" w:eastAsia="Times New Roman" w:hAnsi="Verdana" w:cs="Times New Roman"/>
          <w:color w:val="222222"/>
          <w:sz w:val="24"/>
          <w:szCs w:val="24"/>
        </w:rPr>
      </w:pPr>
      <w:r w:rsidRPr="00547FBD">
        <w:rPr>
          <w:rFonts w:ascii="Verdana" w:eastAsia="Times New Roman" w:hAnsi="Verdana" w:cs="Times New Roman"/>
          <w:color w:val="222222"/>
          <w:sz w:val="24"/>
          <w:szCs w:val="24"/>
        </w:rPr>
        <w:t>Impacts of solar development in Bay Model</w:t>
      </w:r>
    </w:p>
    <w:p w14:paraId="4BB4BF52" w14:textId="77777777" w:rsidR="00547FBD" w:rsidRPr="00547FBD" w:rsidRDefault="00547FBD" w:rsidP="00547FBD">
      <w:pPr>
        <w:shd w:val="clear" w:color="auto" w:fill="FFFFFF"/>
        <w:spacing w:after="0" w:line="240" w:lineRule="auto"/>
        <w:ind w:left="720"/>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701C77A4"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0F26BA07"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color w:val="222222"/>
          <w:sz w:val="24"/>
          <w:szCs w:val="24"/>
          <w:u w:val="single"/>
        </w:rPr>
        <w:t>Additional Background: </w:t>
      </w:r>
    </w:p>
    <w:p w14:paraId="5BBB644D"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3F03BBEF"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Calibri" w:eastAsia="Times New Roman" w:hAnsi="Calibri" w:cs="Calibri"/>
          <w:noProof/>
          <w:color w:val="222222"/>
          <w:sz w:val="24"/>
          <w:szCs w:val="24"/>
          <w:bdr w:val="none" w:sz="0" w:space="0" w:color="auto" w:frame="1"/>
        </w:rPr>
        <w:drawing>
          <wp:inline distT="0" distB="0" distL="0" distR="0" wp14:anchorId="7795884C" wp14:editId="3E9AC31F">
            <wp:extent cx="5568950" cy="2679700"/>
            <wp:effectExtent l="0" t="0" r="0" b="6350"/>
            <wp:docPr id="5" name="Picture 5" descr="https://lh3.googleusercontent.com/RQTWc0mfB8f6dxlU_RHojVJdOYsTiP1uoHHTltQ9SrrCvyyQ08YOEBdeZfgohnwmXuYyrKuMUrFLQv_81LBkwEq1Ye-vdEG_-p6781ZBWxL10kigUPK9l3qGqnO7hrnDKzDCh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RQTWc0mfB8f6dxlU_RHojVJdOYsTiP1uoHHTltQ9SrrCvyyQ08YOEBdeZfgohnwmXuYyrKuMUrFLQv_81LBkwEq1Ye-vdEG_-p6781ZBWxL10kigUPK9l3qGqnO7hrnDKzDChp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8950" cy="2679700"/>
                    </a:xfrm>
                    <a:prstGeom prst="rect">
                      <a:avLst/>
                    </a:prstGeom>
                    <a:noFill/>
                    <a:ln>
                      <a:noFill/>
                    </a:ln>
                  </pic:spPr>
                </pic:pic>
              </a:graphicData>
            </a:graphic>
          </wp:inline>
        </w:drawing>
      </w:r>
    </w:p>
    <w:p w14:paraId="0D4D9120" w14:textId="77777777" w:rsidR="00547FBD" w:rsidRPr="00547FBD" w:rsidRDefault="00547FBD" w:rsidP="00547FBD">
      <w:pPr>
        <w:shd w:val="clear" w:color="auto" w:fill="FFFFFF"/>
        <w:spacing w:after="0" w:line="240" w:lineRule="auto"/>
        <w:outlineLvl w:val="3"/>
        <w:rPr>
          <w:rFonts w:ascii="Times New Roman" w:eastAsia="Times New Roman" w:hAnsi="Times New Roman" w:cs="Times New Roman"/>
          <w:b/>
          <w:bCs/>
          <w:sz w:val="24"/>
          <w:szCs w:val="24"/>
        </w:rPr>
      </w:pPr>
      <w:r w:rsidRPr="00547FBD">
        <w:rPr>
          <w:rFonts w:ascii="Verdana" w:eastAsia="Times New Roman" w:hAnsi="Verdana" w:cs="Times New Roman"/>
          <w:color w:val="222222"/>
          <w:sz w:val="24"/>
          <w:szCs w:val="24"/>
        </w:rPr>
        <w:t xml:space="preserve">Renewable energy is projected to be 44% of electricity generation in 2050. Of the renewable energy projection, 51% is solar. </w:t>
      </w:r>
      <w:hyperlink r:id="rId13" w:history="1">
        <w:r w:rsidRPr="00547FBD">
          <w:rPr>
            <w:rFonts w:ascii="Verdana" w:eastAsia="Times New Roman" w:hAnsi="Verdana" w:cs="Times New Roman"/>
            <w:color w:val="1155CC"/>
            <w:sz w:val="24"/>
            <w:szCs w:val="24"/>
            <w:u w:val="single"/>
          </w:rPr>
          <w:t>https://www.eia.gov/outlooks/aeo/pdf/AEO2022_ChartLibrary_Electricity.pdf</w:t>
        </w:r>
      </w:hyperlink>
    </w:p>
    <w:p w14:paraId="73C52F2C"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Times New Roman" w:eastAsia="Times New Roman" w:hAnsi="Times New Roman" w:cs="Times New Roman"/>
          <w:sz w:val="24"/>
          <w:szCs w:val="24"/>
        </w:rPr>
        <w:t> </w:t>
      </w:r>
    </w:p>
    <w:p w14:paraId="001D340A" w14:textId="64D98759" w:rsidR="00547FBD" w:rsidRPr="00547FBD" w:rsidRDefault="00547FBD" w:rsidP="003A52E4">
      <w:pPr>
        <w:shd w:val="clear" w:color="auto" w:fill="FFFFFF"/>
        <w:spacing w:after="0" w:line="240" w:lineRule="auto"/>
        <w:outlineLvl w:val="3"/>
        <w:rPr>
          <w:rFonts w:ascii="Times New Roman" w:eastAsia="Times New Roman" w:hAnsi="Times New Roman" w:cs="Times New Roman"/>
          <w:b/>
          <w:bCs/>
          <w:sz w:val="24"/>
          <w:szCs w:val="24"/>
        </w:rPr>
      </w:pPr>
      <w:r w:rsidRPr="00547FBD">
        <w:rPr>
          <w:rFonts w:ascii="Times New Roman" w:eastAsia="Times New Roman" w:hAnsi="Times New Roman" w:cs="Times New Roman"/>
          <w:b/>
          <w:bCs/>
          <w:sz w:val="24"/>
          <w:szCs w:val="24"/>
        </w:rPr>
        <w:t> </w:t>
      </w:r>
      <w:r w:rsidRPr="00547FBD">
        <w:rPr>
          <w:rFonts w:ascii="Times New Roman" w:eastAsia="Times New Roman" w:hAnsi="Times New Roman" w:cs="Times New Roman"/>
          <w:sz w:val="24"/>
          <w:szCs w:val="24"/>
        </w:rPr>
        <w:t> </w:t>
      </w:r>
    </w:p>
    <w:p w14:paraId="7B620B0B" w14:textId="77777777" w:rsidR="00547FBD" w:rsidRPr="00547FBD" w:rsidRDefault="00547FBD" w:rsidP="00547FBD">
      <w:pPr>
        <w:shd w:val="clear" w:color="auto" w:fill="FFFFFF"/>
        <w:spacing w:after="0" w:line="240" w:lineRule="auto"/>
        <w:rPr>
          <w:rFonts w:ascii="Times New Roman" w:eastAsia="Times New Roman" w:hAnsi="Times New Roman" w:cs="Times New Roman"/>
          <w:sz w:val="24"/>
          <w:szCs w:val="24"/>
        </w:rPr>
      </w:pPr>
      <w:r w:rsidRPr="00547FBD">
        <w:rPr>
          <w:rFonts w:ascii="Verdana" w:eastAsia="Times New Roman" w:hAnsi="Verdana" w:cs="Times New Roman"/>
          <w:b/>
          <w:bCs/>
          <w:color w:val="000000"/>
          <w:sz w:val="24"/>
          <w:szCs w:val="24"/>
        </w:rPr>
        <w:t>Who is involved in the decision making? </w:t>
      </w:r>
    </w:p>
    <w:p w14:paraId="7B4E93AA" w14:textId="00D80DD9" w:rsidR="00547FBD" w:rsidRPr="00547FBD" w:rsidRDefault="00547FBD" w:rsidP="00547FBD">
      <w:pPr>
        <w:numPr>
          <w:ilvl w:val="0"/>
          <w:numId w:val="11"/>
        </w:numPr>
        <w:shd w:val="clear" w:color="auto" w:fill="FFFFFF"/>
        <w:spacing w:after="0" w:line="240" w:lineRule="auto"/>
        <w:textAlignment w:val="baseline"/>
        <w:rPr>
          <w:rFonts w:ascii="Verdana" w:eastAsia="Times New Roman" w:hAnsi="Verdana" w:cs="Calibri"/>
          <w:color w:val="222222"/>
          <w:sz w:val="24"/>
          <w:szCs w:val="24"/>
        </w:rPr>
      </w:pPr>
      <w:r w:rsidRPr="00547FBD">
        <w:rPr>
          <w:rFonts w:ascii="Verdana" w:eastAsia="Times New Roman" w:hAnsi="Verdana" w:cs="Calibri"/>
          <w:color w:val="222222"/>
          <w:sz w:val="24"/>
          <w:szCs w:val="24"/>
        </w:rPr>
        <w:t>Permission from Independent System Operators (ISO) for interconnection to electricity transmission network - Most of the Bay Watershed fall</w:t>
      </w:r>
      <w:r w:rsidR="00B410C5">
        <w:rPr>
          <w:rFonts w:ascii="Verdana" w:eastAsia="Times New Roman" w:hAnsi="Verdana" w:cs="Calibri"/>
          <w:color w:val="222222"/>
          <w:sz w:val="24"/>
          <w:szCs w:val="24"/>
        </w:rPr>
        <w:t>s</w:t>
      </w:r>
      <w:r w:rsidRPr="00547FBD">
        <w:rPr>
          <w:rFonts w:ascii="Verdana" w:eastAsia="Times New Roman" w:hAnsi="Verdana" w:cs="Calibri"/>
          <w:color w:val="222222"/>
          <w:sz w:val="24"/>
          <w:szCs w:val="24"/>
        </w:rPr>
        <w:t xml:space="preserve"> under the PJM Interconnection</w:t>
      </w:r>
      <w:bookmarkStart w:id="0" w:name="_GoBack"/>
      <w:bookmarkEnd w:id="0"/>
    </w:p>
    <w:p w14:paraId="1083D3ED" w14:textId="77777777" w:rsidR="00547FBD" w:rsidRPr="00547FBD" w:rsidRDefault="00547FBD" w:rsidP="00547FBD">
      <w:pPr>
        <w:shd w:val="clear" w:color="auto" w:fill="FFFFFF"/>
        <w:spacing w:after="0" w:line="240" w:lineRule="auto"/>
        <w:ind w:left="720"/>
        <w:rPr>
          <w:rFonts w:ascii="Times New Roman" w:eastAsia="Times New Roman" w:hAnsi="Times New Roman" w:cs="Times New Roman"/>
          <w:sz w:val="24"/>
          <w:szCs w:val="24"/>
        </w:rPr>
      </w:pPr>
      <w:r w:rsidRPr="00547FBD">
        <w:rPr>
          <w:rFonts w:ascii="Calibri" w:eastAsia="Times New Roman" w:hAnsi="Calibri" w:cs="Calibri"/>
          <w:noProof/>
          <w:color w:val="222222"/>
          <w:sz w:val="24"/>
          <w:szCs w:val="24"/>
          <w:bdr w:val="none" w:sz="0" w:space="0" w:color="auto" w:frame="1"/>
        </w:rPr>
        <w:lastRenderedPageBreak/>
        <w:drawing>
          <wp:inline distT="0" distB="0" distL="0" distR="0" wp14:anchorId="523C4B4F" wp14:editId="6E2207BD">
            <wp:extent cx="5734050" cy="3638550"/>
            <wp:effectExtent l="0" t="0" r="0" b="0"/>
            <wp:docPr id="6" name="Picture 6" descr="https://lh6.googleusercontent.com/fJlZ_IBeWVf9QPqm5ANxLADARm8AieRzYy69WowAsT9d4N-nJYGkpYN9Ba1nb_m0l0BAYqoD4L3t5xnY9_gCfiyzfCxXKhxf--rt_iIr7lvnZYDpPfmb2ZNMB7e6RKRDWuzL8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fJlZ_IBeWVf9QPqm5ANxLADARm8AieRzYy69WowAsT9d4N-nJYGkpYN9Ba1nb_m0l0BAYqoD4L3t5xnY9_gCfiyzfCxXKhxf--rt_iIr7lvnZYDpPfmb2ZNMB7e6RKRDWuzL8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3638550"/>
                    </a:xfrm>
                    <a:prstGeom prst="rect">
                      <a:avLst/>
                    </a:prstGeom>
                    <a:noFill/>
                    <a:ln>
                      <a:noFill/>
                    </a:ln>
                  </pic:spPr>
                </pic:pic>
              </a:graphicData>
            </a:graphic>
          </wp:inline>
        </w:drawing>
      </w:r>
      <w:r w:rsidRPr="00547FBD">
        <w:rPr>
          <w:rFonts w:ascii="Calibri" w:eastAsia="Times New Roman" w:hAnsi="Calibri" w:cs="Calibri"/>
          <w:color w:val="222222"/>
          <w:sz w:val="24"/>
          <w:szCs w:val="24"/>
        </w:rPr>
        <w:t> </w:t>
      </w:r>
    </w:p>
    <w:p w14:paraId="2C65E59E" w14:textId="69201CFB" w:rsidR="00547FBD" w:rsidRPr="00547FBD" w:rsidRDefault="00547FBD" w:rsidP="00547FBD">
      <w:pPr>
        <w:numPr>
          <w:ilvl w:val="0"/>
          <w:numId w:val="12"/>
        </w:numPr>
        <w:shd w:val="clear" w:color="auto" w:fill="FFFFFF"/>
        <w:spacing w:after="0" w:line="240" w:lineRule="auto"/>
        <w:textAlignment w:val="baseline"/>
        <w:rPr>
          <w:rFonts w:ascii="Verdana" w:eastAsia="Times New Roman" w:hAnsi="Verdana" w:cs="Calibri"/>
          <w:color w:val="222222"/>
          <w:sz w:val="24"/>
          <w:szCs w:val="24"/>
        </w:rPr>
      </w:pPr>
      <w:r w:rsidRPr="00547FBD">
        <w:rPr>
          <w:rFonts w:ascii="Verdana" w:eastAsia="Times New Roman" w:hAnsi="Verdana" w:cs="Calibri"/>
          <w:color w:val="222222"/>
          <w:sz w:val="24"/>
          <w:szCs w:val="24"/>
        </w:rPr>
        <w:t>Certificate from State utilities regulator (Virginia State Corporation Commission, MD Public Service Commission, PA Public Utility Commission), depending on size of project</w:t>
      </w:r>
    </w:p>
    <w:p w14:paraId="5C26B2EB" w14:textId="77777777" w:rsidR="00547FBD" w:rsidRPr="00547FBD" w:rsidRDefault="00547FBD" w:rsidP="00547FBD">
      <w:pPr>
        <w:numPr>
          <w:ilvl w:val="0"/>
          <w:numId w:val="12"/>
        </w:numPr>
        <w:shd w:val="clear" w:color="auto" w:fill="FFFFFF"/>
        <w:spacing w:after="0" w:line="240" w:lineRule="auto"/>
        <w:textAlignment w:val="baseline"/>
        <w:rPr>
          <w:rFonts w:ascii="Verdana" w:eastAsia="Times New Roman" w:hAnsi="Verdana" w:cs="Calibri"/>
          <w:color w:val="222222"/>
          <w:sz w:val="24"/>
          <w:szCs w:val="24"/>
        </w:rPr>
      </w:pPr>
      <w:r w:rsidRPr="00547FBD">
        <w:rPr>
          <w:rFonts w:ascii="Verdana" w:eastAsia="Times New Roman" w:hAnsi="Verdana" w:cs="Calibri"/>
          <w:color w:val="222222"/>
          <w:sz w:val="24"/>
          <w:szCs w:val="24"/>
        </w:rPr>
        <w:t>Environmental permits (state and/or local), depending on size of project and impacts</w:t>
      </w:r>
    </w:p>
    <w:p w14:paraId="53AAB703" w14:textId="77777777" w:rsidR="00547FBD" w:rsidRPr="00547FBD" w:rsidRDefault="00547FBD" w:rsidP="00547FBD">
      <w:pPr>
        <w:numPr>
          <w:ilvl w:val="0"/>
          <w:numId w:val="12"/>
        </w:numPr>
        <w:shd w:val="clear" w:color="auto" w:fill="FFFFFF"/>
        <w:spacing w:after="0" w:line="240" w:lineRule="auto"/>
        <w:textAlignment w:val="baseline"/>
        <w:rPr>
          <w:rFonts w:ascii="Verdana" w:eastAsia="Times New Roman" w:hAnsi="Verdana" w:cs="Calibri"/>
          <w:color w:val="222222"/>
          <w:sz w:val="24"/>
          <w:szCs w:val="24"/>
        </w:rPr>
      </w:pPr>
      <w:r w:rsidRPr="00547FBD">
        <w:rPr>
          <w:rFonts w:ascii="Verdana" w:eastAsia="Times New Roman" w:hAnsi="Verdana" w:cs="Calibri"/>
          <w:color w:val="222222"/>
          <w:sz w:val="24"/>
          <w:szCs w:val="24"/>
        </w:rPr>
        <w:t>Local government certification or recommendation for siting based on compliance with local land use ordinances </w:t>
      </w:r>
    </w:p>
    <w:p w14:paraId="7A40D40D" w14:textId="77777777" w:rsidR="003D7185" w:rsidRPr="003A52E4" w:rsidRDefault="003D7185">
      <w:pPr>
        <w:rPr>
          <w:rFonts w:ascii="Verdana" w:hAnsi="Verdana"/>
        </w:rPr>
      </w:pPr>
    </w:p>
    <w:sectPr w:rsidR="003D7185" w:rsidRPr="003A52E4" w:rsidSect="00547F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6F12"/>
    <w:multiLevelType w:val="multilevel"/>
    <w:tmpl w:val="AE1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E1FCE"/>
    <w:multiLevelType w:val="multilevel"/>
    <w:tmpl w:val="B986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B3ACF"/>
    <w:multiLevelType w:val="multilevel"/>
    <w:tmpl w:val="C19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A093A"/>
    <w:multiLevelType w:val="multilevel"/>
    <w:tmpl w:val="5336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B1636"/>
    <w:multiLevelType w:val="multilevel"/>
    <w:tmpl w:val="B6AE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75A89"/>
    <w:multiLevelType w:val="multilevel"/>
    <w:tmpl w:val="22D22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C29F5"/>
    <w:multiLevelType w:val="multilevel"/>
    <w:tmpl w:val="948C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F55DE"/>
    <w:multiLevelType w:val="multilevel"/>
    <w:tmpl w:val="DE2E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95D4F"/>
    <w:multiLevelType w:val="multilevel"/>
    <w:tmpl w:val="C08C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71984"/>
    <w:multiLevelType w:val="multilevel"/>
    <w:tmpl w:val="30AA5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A45AF"/>
    <w:multiLevelType w:val="multilevel"/>
    <w:tmpl w:val="06F4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33088"/>
    <w:multiLevelType w:val="multilevel"/>
    <w:tmpl w:val="1AD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0"/>
  </w:num>
  <w:num w:numId="6">
    <w:abstractNumId w:val="9"/>
  </w:num>
  <w:num w:numId="7">
    <w:abstractNumId w:val="6"/>
  </w:num>
  <w:num w:numId="8">
    <w:abstractNumId w:val="4"/>
  </w:num>
  <w:num w:numId="9">
    <w:abstractNumId w:val="8"/>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78"/>
    <w:rsid w:val="00132B78"/>
    <w:rsid w:val="00185903"/>
    <w:rsid w:val="003A52E4"/>
    <w:rsid w:val="003D7185"/>
    <w:rsid w:val="004B5BE6"/>
    <w:rsid w:val="00547FBD"/>
    <w:rsid w:val="00606AC8"/>
    <w:rsid w:val="0097114A"/>
    <w:rsid w:val="009F109B"/>
    <w:rsid w:val="00B410C5"/>
    <w:rsid w:val="00C4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C909"/>
  <w15:chartTrackingRefBased/>
  <w15:docId w15:val="{2792B650-2F82-4AD1-86BD-E69F7B2D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2E4"/>
    <w:rPr>
      <w:rFonts w:ascii="Segoe UI" w:hAnsi="Segoe UI" w:cs="Segoe UI"/>
      <w:sz w:val="18"/>
      <w:szCs w:val="18"/>
    </w:rPr>
  </w:style>
  <w:style w:type="paragraph" w:styleId="Revision">
    <w:name w:val="Revision"/>
    <w:hidden/>
    <w:uiPriority w:val="99"/>
    <w:semiHidden/>
    <w:rsid w:val="00B41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80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discover/videos/bay_101_climate_change" TargetMode="External"/><Relationship Id="rId13" Type="http://schemas.openxmlformats.org/officeDocument/2006/relationships/hyperlink" Target="https://www.eia.gov/outlooks/aeo/pdf/AEO2022_ChartLibrary_Electricity.pdf" TargetMode="External"/><Relationship Id="rId3" Type="http://schemas.openxmlformats.org/officeDocument/2006/relationships/settings" Target="settings.xml"/><Relationship Id="rId7" Type="http://schemas.openxmlformats.org/officeDocument/2006/relationships/hyperlink" Target="https://www.chesapeakebay.net/documents/43419/climatedirective_final_3.pdf"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www.chesapeake.org/stac"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bayjournal.com/news/climate_change/more-than-800-solar-projects-in-bay-states-stuck-waiting-for-review/article_71a4375a-af6a-11ec-9071-03d4665eb07b.html" TargetMode="External"/><Relationship Id="rId4" Type="http://schemas.openxmlformats.org/officeDocument/2006/relationships/webSettings" Target="webSettings.xml"/><Relationship Id="rId9" Type="http://schemas.openxmlformats.org/officeDocument/2006/relationships/hyperlink" Target="https://www.chesapeakebay.net/documents/FINAL_Ches_Bay_Watershed_Agreement.withsignatures-HIres.pdf"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Alliance for the Chesapeake Bay</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jblackburn</dc:creator>
  <cp:keywords/>
  <dc:description/>
  <cp:lastModifiedBy>jblackburn</cp:lastModifiedBy>
  <cp:revision>2</cp:revision>
  <cp:lastPrinted>2022-05-13T19:30:00Z</cp:lastPrinted>
  <dcterms:created xsi:type="dcterms:W3CDTF">2022-05-13T20:09:00Z</dcterms:created>
  <dcterms:modified xsi:type="dcterms:W3CDTF">2022-05-13T20:09:00Z</dcterms:modified>
</cp:coreProperties>
</file>