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1D222" w14:textId="77777777" w:rsidR="00ED64BA" w:rsidRDefault="00845DFC" w:rsidP="00ED64BA">
      <w:pPr>
        <w:pStyle w:val="Title"/>
        <w:jc w:val="center"/>
        <w:rPr>
          <w:sz w:val="44"/>
        </w:rPr>
      </w:pPr>
      <w:r w:rsidRPr="00ED64BA">
        <w:rPr>
          <w:sz w:val="44"/>
        </w:rPr>
        <w:t>Toxic Contaminants Work Group</w:t>
      </w:r>
    </w:p>
    <w:p w14:paraId="5BEA7BAC" w14:textId="3DBF9490" w:rsidR="00845DFC" w:rsidRPr="00ED64BA" w:rsidRDefault="00B96FDE" w:rsidP="00356F4C">
      <w:pPr>
        <w:pStyle w:val="Title"/>
        <w:spacing w:after="120"/>
        <w:jc w:val="center"/>
        <w:rPr>
          <w:sz w:val="44"/>
        </w:rPr>
      </w:pPr>
      <w:r w:rsidRPr="00ED64BA">
        <w:rPr>
          <w:sz w:val="44"/>
        </w:rPr>
        <w:t>Example Management Activities</w:t>
      </w:r>
      <w:r w:rsidR="003B5403">
        <w:rPr>
          <w:rStyle w:val="FootnoteReference"/>
          <w:sz w:val="44"/>
        </w:rPr>
        <w:footnoteReference w:id="1"/>
      </w:r>
    </w:p>
    <w:p w14:paraId="4D975385" w14:textId="0C6DA4DD" w:rsidR="00845DFC" w:rsidRPr="00C275C0" w:rsidRDefault="00B96FDE" w:rsidP="0068263E">
      <w:pPr>
        <w:pStyle w:val="Heading1"/>
      </w:pPr>
      <w:r>
        <w:t>Example Management Activity</w:t>
      </w:r>
      <w:r w:rsidR="00845DFC" w:rsidRPr="00C275C0">
        <w:t xml:space="preserve"> 1: </w:t>
      </w:r>
      <w:proofErr w:type="spellStart"/>
      <w:r w:rsidR="005E5889">
        <w:t>Coan</w:t>
      </w:r>
      <w:proofErr w:type="spellEnd"/>
      <w:r w:rsidR="00FE486A">
        <w:t xml:space="preserve"> River</w:t>
      </w:r>
      <w:r w:rsidR="007A01B2">
        <w:t xml:space="preserve"> </w:t>
      </w:r>
      <w:r w:rsidR="004F5044">
        <w:t>PCB</w:t>
      </w:r>
      <w:r w:rsidR="007A01B2">
        <w:t xml:space="preserve"> Remediation</w:t>
      </w:r>
      <w:r w:rsidR="00845DFC" w:rsidRPr="00C275C0">
        <w:t xml:space="preserve">. </w:t>
      </w:r>
    </w:p>
    <w:p w14:paraId="418AF34E" w14:textId="128A1BDA" w:rsidR="00472A1A" w:rsidRDefault="00FE486A" w:rsidP="005A7B25">
      <w:pPr>
        <w:rPr>
          <w:rFonts w:ascii="Garamond" w:hAnsi="Garamond"/>
          <w:sz w:val="24"/>
          <w:szCs w:val="24"/>
        </w:rPr>
      </w:pPr>
      <w:r w:rsidRPr="00FE486A">
        <w:rPr>
          <w:rFonts w:ascii="Garamond" w:hAnsi="Garamond"/>
          <w:sz w:val="24"/>
          <w:szCs w:val="24"/>
        </w:rPr>
        <w:t xml:space="preserve">The Potomac River PCB TMDL (Hayward and Buchanan, 2007) identifies a variety of sources contributing to PCB loads, some of which will require substantial load reductions in order to achieve TMDL targets. On-the-ground actions that might be implemented to achieve Potomac River PCB TMDL targets will be determined through ongoing and future TMDL processes, but may include BMPs such as sediment trapping/remediation BMPs </w:t>
      </w:r>
      <w:r w:rsidR="00C5479E">
        <w:rPr>
          <w:rFonts w:ascii="Garamond" w:hAnsi="Garamond"/>
          <w:sz w:val="24"/>
          <w:szCs w:val="24"/>
        </w:rPr>
        <w:t xml:space="preserve">that have been </w:t>
      </w:r>
      <w:r w:rsidRPr="00FE486A">
        <w:rPr>
          <w:rFonts w:ascii="Garamond" w:hAnsi="Garamond"/>
          <w:sz w:val="24"/>
          <w:szCs w:val="24"/>
        </w:rPr>
        <w:t xml:space="preserve">evaluated for co-benefits of contaminant reduction. These types </w:t>
      </w:r>
      <w:r w:rsidR="003B5403">
        <w:rPr>
          <w:rFonts w:ascii="Garamond" w:hAnsi="Garamond"/>
          <w:sz w:val="24"/>
          <w:szCs w:val="24"/>
        </w:rPr>
        <w:t xml:space="preserve">of </w:t>
      </w:r>
      <w:r w:rsidRPr="00FE486A">
        <w:rPr>
          <w:rFonts w:ascii="Garamond" w:hAnsi="Garamond"/>
          <w:sz w:val="24"/>
          <w:szCs w:val="24"/>
        </w:rPr>
        <w:t>actions represent the most specific level (in terms of location and method) of activity that would be implemented through the auspices of the Toxic Contaminants Workgroup for which potential climate change effects can be assessed and accounted for. From information in Hayward and Buchanan (2007) on the general types of PCB sources that contribute to observed environmental concentrations, a fictitious example ‘project’ is presented that includes an arbitrarily selected, fictitious site on the Potomac River (a real location but not an actual facility or otherwise identified contaminated site), and presents a set of BMPs that might commonly be utilized to remediate PCB contamination, such as erosion and runoff of contaminated sediments, and groundwater (GW) con</w:t>
      </w:r>
      <w:r w:rsidR="00A73303">
        <w:rPr>
          <w:rFonts w:ascii="Garamond" w:hAnsi="Garamond"/>
          <w:sz w:val="24"/>
          <w:szCs w:val="24"/>
        </w:rPr>
        <w:t>tamination through leaching</w:t>
      </w:r>
      <w:r w:rsidRPr="00FE486A">
        <w:rPr>
          <w:rFonts w:ascii="Garamond" w:hAnsi="Garamond"/>
          <w:sz w:val="24"/>
          <w:szCs w:val="24"/>
        </w:rPr>
        <w:t>.</w:t>
      </w:r>
    </w:p>
    <w:p w14:paraId="17C02502" w14:textId="77777777" w:rsidR="00293E85" w:rsidRDefault="00293E85" w:rsidP="00293E85">
      <w:pPr>
        <w:pStyle w:val="Heading2"/>
      </w:pPr>
      <w:r>
        <w:t>Example Activity</w:t>
      </w:r>
    </w:p>
    <w:p w14:paraId="1D4EC428" w14:textId="4B201F73" w:rsidR="00961ECA" w:rsidRDefault="00C5479E" w:rsidP="00293E85">
      <w:r>
        <w:t xml:space="preserve">The </w:t>
      </w:r>
      <w:proofErr w:type="spellStart"/>
      <w:r w:rsidR="00961ECA">
        <w:t>Coan</w:t>
      </w:r>
      <w:proofErr w:type="spellEnd"/>
      <w:r w:rsidR="00961ECA">
        <w:t xml:space="preserve"> River on the lower Potomac in Virginia (identified as segment 10</w:t>
      </w:r>
      <w:r>
        <w:t xml:space="preserve"> in the PCB TMDL; </w:t>
      </w:r>
      <w:r w:rsidR="00961ECA">
        <w:t xml:space="preserve">Figure 1) </w:t>
      </w:r>
      <w:proofErr w:type="gramStart"/>
      <w:r w:rsidR="00C14CAD">
        <w:t>has</w:t>
      </w:r>
      <w:proofErr w:type="gramEnd"/>
      <w:r w:rsidR="00C14CAD">
        <w:t xml:space="preserve"> PCB contamination primarily from non-point sources of contaminated sediments, and atmospheric deposition (Hayward and Buchanan, 2007). </w:t>
      </w:r>
      <w:r>
        <w:t>No specific contaminated sites are identified in the TMDL, but f</w:t>
      </w:r>
      <w:r w:rsidR="00C14CAD">
        <w:t>or the purposes of this example activity, we are going to also say there is a (fictitious) ‘hotspot’ of legacy PCB sediment contamination near the bank of the river that has not be previously trea</w:t>
      </w:r>
      <w:r>
        <w:t>ted. Such a site could contribute</w:t>
      </w:r>
      <w:r w:rsidR="00C14CAD">
        <w:t xml:space="preserve"> eroded PCB-contaminated </w:t>
      </w:r>
      <w:r>
        <w:t>sediments, and also leach PCBs</w:t>
      </w:r>
      <w:r w:rsidR="00C14CAD">
        <w:t xml:space="preserve"> to groundwater (GW). </w:t>
      </w:r>
    </w:p>
    <w:p w14:paraId="41588E93" w14:textId="75915A85" w:rsidR="00293E85" w:rsidRDefault="00961ECA" w:rsidP="00293E85">
      <w:r>
        <w:t xml:space="preserve">This example focuses on a combination of remediation </w:t>
      </w:r>
      <w:r w:rsidR="00A73303">
        <w:t>BMPs:</w:t>
      </w:r>
    </w:p>
    <w:p w14:paraId="72B29B00" w14:textId="3A58D892" w:rsidR="00A73303" w:rsidRDefault="00A73303" w:rsidP="00A73303">
      <w:pPr>
        <w:pStyle w:val="ListParagraph"/>
        <w:numPr>
          <w:ilvl w:val="0"/>
          <w:numId w:val="3"/>
        </w:numPr>
        <w:rPr>
          <w:rFonts w:ascii="Garamond" w:hAnsi="Garamond"/>
          <w:sz w:val="24"/>
          <w:szCs w:val="24"/>
        </w:rPr>
      </w:pPr>
      <w:r w:rsidRPr="00867108">
        <w:rPr>
          <w:rFonts w:ascii="Garamond" w:hAnsi="Garamond"/>
          <w:sz w:val="24"/>
          <w:szCs w:val="24"/>
        </w:rPr>
        <w:t xml:space="preserve">Install vegetated filter strips along the river </w:t>
      </w:r>
      <w:r>
        <w:rPr>
          <w:rFonts w:ascii="Garamond" w:hAnsi="Garamond"/>
          <w:sz w:val="24"/>
          <w:szCs w:val="24"/>
        </w:rPr>
        <w:t xml:space="preserve">and in particular </w:t>
      </w:r>
      <w:r w:rsidRPr="00867108">
        <w:rPr>
          <w:rFonts w:ascii="Garamond" w:hAnsi="Garamond"/>
          <w:sz w:val="24"/>
          <w:szCs w:val="24"/>
        </w:rPr>
        <w:t>adjacent to the</w:t>
      </w:r>
      <w:r>
        <w:rPr>
          <w:rFonts w:ascii="Garamond" w:hAnsi="Garamond"/>
          <w:sz w:val="24"/>
          <w:szCs w:val="24"/>
        </w:rPr>
        <w:t xml:space="preserve"> ‘hotspot’ legacy contaminated</w:t>
      </w:r>
      <w:r w:rsidRPr="00867108">
        <w:rPr>
          <w:rFonts w:ascii="Garamond" w:hAnsi="Garamond"/>
          <w:sz w:val="24"/>
          <w:szCs w:val="24"/>
        </w:rPr>
        <w:t xml:space="preserve"> site </w:t>
      </w:r>
      <w:r>
        <w:rPr>
          <w:rFonts w:ascii="Garamond" w:hAnsi="Garamond"/>
          <w:sz w:val="24"/>
          <w:szCs w:val="24"/>
        </w:rPr>
        <w:t xml:space="preserve">to reduce the load of contaminated sediment in the runoff </w:t>
      </w:r>
      <w:r w:rsidRPr="00867108">
        <w:rPr>
          <w:rFonts w:ascii="Garamond" w:hAnsi="Garamond"/>
          <w:sz w:val="24"/>
          <w:szCs w:val="24"/>
        </w:rPr>
        <w:t>before it enters the river.</w:t>
      </w:r>
    </w:p>
    <w:p w14:paraId="48F145B0" w14:textId="2F0063A2" w:rsidR="00A73303" w:rsidRDefault="00A73303" w:rsidP="00A73303">
      <w:pPr>
        <w:pStyle w:val="ListParagraph"/>
        <w:numPr>
          <w:ilvl w:val="0"/>
          <w:numId w:val="3"/>
        </w:numPr>
        <w:rPr>
          <w:rFonts w:ascii="Garamond" w:hAnsi="Garamond"/>
          <w:sz w:val="24"/>
          <w:szCs w:val="24"/>
        </w:rPr>
      </w:pPr>
      <w:r w:rsidRPr="00867108">
        <w:rPr>
          <w:rFonts w:ascii="Garamond" w:hAnsi="Garamond"/>
          <w:sz w:val="24"/>
          <w:szCs w:val="24"/>
        </w:rPr>
        <w:t>I</w:t>
      </w:r>
      <w:r>
        <w:rPr>
          <w:rFonts w:ascii="Garamond" w:hAnsi="Garamond"/>
          <w:sz w:val="24"/>
          <w:szCs w:val="24"/>
        </w:rPr>
        <w:t xml:space="preserve">f there are </w:t>
      </w:r>
      <w:proofErr w:type="spellStart"/>
      <w:r>
        <w:rPr>
          <w:rFonts w:ascii="Garamond" w:hAnsi="Garamond"/>
          <w:sz w:val="24"/>
          <w:szCs w:val="24"/>
        </w:rPr>
        <w:t>stormwater</w:t>
      </w:r>
      <w:proofErr w:type="spellEnd"/>
      <w:r>
        <w:rPr>
          <w:rFonts w:ascii="Garamond" w:hAnsi="Garamond"/>
          <w:sz w:val="24"/>
          <w:szCs w:val="24"/>
        </w:rPr>
        <w:t xml:space="preserve"> collection and discharge, i</w:t>
      </w:r>
      <w:r w:rsidRPr="00867108">
        <w:rPr>
          <w:rFonts w:ascii="Garamond" w:hAnsi="Garamond"/>
          <w:sz w:val="24"/>
          <w:szCs w:val="24"/>
        </w:rPr>
        <w:t xml:space="preserve">nstall vegetated filter strips </w:t>
      </w:r>
      <w:r>
        <w:rPr>
          <w:rFonts w:ascii="Garamond" w:hAnsi="Garamond"/>
          <w:sz w:val="24"/>
          <w:szCs w:val="24"/>
        </w:rPr>
        <w:t xml:space="preserve">for </w:t>
      </w:r>
      <w:proofErr w:type="spellStart"/>
      <w:r>
        <w:rPr>
          <w:rFonts w:ascii="Garamond" w:hAnsi="Garamond"/>
          <w:sz w:val="24"/>
          <w:szCs w:val="24"/>
        </w:rPr>
        <w:t>stormwater</w:t>
      </w:r>
      <w:proofErr w:type="spellEnd"/>
      <w:r>
        <w:rPr>
          <w:rFonts w:ascii="Garamond" w:hAnsi="Garamond"/>
          <w:sz w:val="24"/>
          <w:szCs w:val="24"/>
        </w:rPr>
        <w:t xml:space="preserve"> treatment.</w:t>
      </w:r>
    </w:p>
    <w:p w14:paraId="16161AD0" w14:textId="186F13A3" w:rsidR="00A73303" w:rsidRDefault="00A73303" w:rsidP="00A73303">
      <w:pPr>
        <w:pStyle w:val="ListParagraph"/>
        <w:numPr>
          <w:ilvl w:val="0"/>
          <w:numId w:val="3"/>
        </w:numPr>
        <w:rPr>
          <w:rFonts w:ascii="Garamond" w:hAnsi="Garamond"/>
          <w:sz w:val="24"/>
          <w:szCs w:val="24"/>
        </w:rPr>
      </w:pPr>
      <w:r>
        <w:rPr>
          <w:rFonts w:ascii="Garamond" w:hAnsi="Garamond"/>
          <w:sz w:val="24"/>
          <w:szCs w:val="24"/>
        </w:rPr>
        <w:t>Install g</w:t>
      </w:r>
      <w:r w:rsidRPr="00867108">
        <w:rPr>
          <w:rFonts w:ascii="Garamond" w:hAnsi="Garamond"/>
          <w:sz w:val="24"/>
          <w:szCs w:val="24"/>
        </w:rPr>
        <w:t>roundwater well</w:t>
      </w:r>
      <w:r>
        <w:rPr>
          <w:rFonts w:ascii="Garamond" w:hAnsi="Garamond"/>
          <w:sz w:val="24"/>
          <w:szCs w:val="24"/>
        </w:rPr>
        <w:t>s to pump</w:t>
      </w:r>
      <w:r w:rsidRPr="00867108">
        <w:rPr>
          <w:rFonts w:ascii="Garamond" w:hAnsi="Garamond"/>
          <w:sz w:val="24"/>
          <w:szCs w:val="24"/>
        </w:rPr>
        <w:t xml:space="preserve"> </w:t>
      </w:r>
      <w:r>
        <w:rPr>
          <w:rFonts w:ascii="Garamond" w:hAnsi="Garamond"/>
          <w:sz w:val="24"/>
          <w:szCs w:val="24"/>
        </w:rPr>
        <w:t>and remove, and then treat, contaminated GW.</w:t>
      </w:r>
    </w:p>
    <w:p w14:paraId="6B0B3FFC" w14:textId="1F2F08F0" w:rsidR="00A73303" w:rsidRPr="00867108" w:rsidRDefault="00A73303" w:rsidP="00A73303">
      <w:pPr>
        <w:pStyle w:val="ListParagraph"/>
        <w:numPr>
          <w:ilvl w:val="0"/>
          <w:numId w:val="3"/>
        </w:numPr>
        <w:rPr>
          <w:rFonts w:ascii="Garamond" w:hAnsi="Garamond"/>
          <w:sz w:val="24"/>
          <w:szCs w:val="24"/>
        </w:rPr>
      </w:pPr>
      <w:r>
        <w:rPr>
          <w:rFonts w:ascii="Garamond" w:hAnsi="Garamond"/>
          <w:sz w:val="24"/>
          <w:szCs w:val="24"/>
        </w:rPr>
        <w:t>There may be additional benefit from adding a sediment cap to the contaminant ‘hot spot’.</w:t>
      </w:r>
    </w:p>
    <w:p w14:paraId="527BE1C6" w14:textId="77777777" w:rsidR="00A73303" w:rsidRDefault="00A73303" w:rsidP="00293E85"/>
    <w:p w14:paraId="123A11FA" w14:textId="26BE80A5" w:rsidR="002E1C9D" w:rsidRDefault="009D5391" w:rsidP="005A7B25">
      <w:pPr>
        <w:rPr>
          <w:rFonts w:ascii="Garamond" w:hAnsi="Garamond"/>
          <w:noProof/>
          <w:sz w:val="24"/>
          <w:szCs w:val="24"/>
        </w:rPr>
      </w:pPr>
      <w:r w:rsidRPr="009D5391">
        <w:rPr>
          <w:noProof/>
        </w:rPr>
        <w:lastRenderedPageBreak/>
        <w:drawing>
          <wp:inline distT="0" distB="0" distL="0" distR="0" wp14:anchorId="755A0D69" wp14:editId="5EC545B8">
            <wp:extent cx="5181600" cy="518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2058" cy="5182058"/>
                    </a:xfrm>
                    <a:prstGeom prst="rect">
                      <a:avLst/>
                    </a:prstGeom>
                  </pic:spPr>
                </pic:pic>
              </a:graphicData>
            </a:graphic>
          </wp:inline>
        </w:drawing>
      </w:r>
    </w:p>
    <w:p w14:paraId="39C94F0E" w14:textId="14DE3E70" w:rsidR="009D5391" w:rsidRPr="00605A9D" w:rsidRDefault="009D5391" w:rsidP="009D5391">
      <w:pPr>
        <w:rPr>
          <w:rFonts w:ascii="Garamond" w:hAnsi="Garamond"/>
          <w:szCs w:val="24"/>
        </w:rPr>
      </w:pPr>
      <w:r w:rsidRPr="00605A9D">
        <w:rPr>
          <w:rStyle w:val="IntenseReference"/>
          <w:rFonts w:ascii="Garamond" w:hAnsi="Garamond"/>
        </w:rPr>
        <w:t>Figure 1</w:t>
      </w:r>
      <w:r w:rsidRPr="00605A9D">
        <w:rPr>
          <w:rFonts w:ascii="Garamond" w:hAnsi="Garamond"/>
          <w:szCs w:val="24"/>
        </w:rPr>
        <w:t xml:space="preserve">. </w:t>
      </w:r>
      <w:r>
        <w:rPr>
          <w:rFonts w:ascii="Garamond" w:hAnsi="Garamond"/>
          <w:szCs w:val="24"/>
        </w:rPr>
        <w:t>P</w:t>
      </w:r>
      <w:r w:rsidRPr="00605A9D">
        <w:rPr>
          <w:rFonts w:ascii="Garamond" w:hAnsi="Garamond"/>
          <w:szCs w:val="24"/>
        </w:rPr>
        <w:t xml:space="preserve">otential contaminant (PCB) sites </w:t>
      </w:r>
      <w:r>
        <w:rPr>
          <w:rFonts w:ascii="Garamond" w:hAnsi="Garamond"/>
          <w:szCs w:val="24"/>
        </w:rPr>
        <w:t xml:space="preserve">on </w:t>
      </w:r>
      <w:r w:rsidRPr="00605A9D">
        <w:rPr>
          <w:rFonts w:ascii="Garamond" w:hAnsi="Garamond"/>
          <w:szCs w:val="24"/>
        </w:rPr>
        <w:t xml:space="preserve">the </w:t>
      </w:r>
      <w:r>
        <w:rPr>
          <w:rFonts w:ascii="Garamond" w:hAnsi="Garamond"/>
          <w:szCs w:val="24"/>
        </w:rPr>
        <w:t>Potomac</w:t>
      </w:r>
      <w:r w:rsidRPr="00605A9D">
        <w:rPr>
          <w:rFonts w:ascii="Garamond" w:hAnsi="Garamond"/>
          <w:szCs w:val="24"/>
        </w:rPr>
        <w:t xml:space="preserve"> River</w:t>
      </w:r>
      <w:r>
        <w:rPr>
          <w:rFonts w:ascii="Garamond" w:hAnsi="Garamond"/>
          <w:szCs w:val="24"/>
        </w:rPr>
        <w:t xml:space="preserve">, showing </w:t>
      </w:r>
      <w:proofErr w:type="spellStart"/>
      <w:r>
        <w:rPr>
          <w:rFonts w:ascii="Garamond" w:hAnsi="Garamond"/>
          <w:szCs w:val="24"/>
        </w:rPr>
        <w:t>Coan</w:t>
      </w:r>
      <w:proofErr w:type="spellEnd"/>
      <w:r>
        <w:rPr>
          <w:rFonts w:ascii="Garamond" w:hAnsi="Garamond"/>
          <w:szCs w:val="24"/>
        </w:rPr>
        <w:t xml:space="preserve"> River (segment 10) on the lower Potomac</w:t>
      </w:r>
      <w:r w:rsidRPr="00605A9D">
        <w:rPr>
          <w:rFonts w:ascii="Garamond" w:hAnsi="Garamond"/>
          <w:szCs w:val="24"/>
        </w:rPr>
        <w:t>.</w:t>
      </w:r>
    </w:p>
    <w:p w14:paraId="613A200D" w14:textId="273543B3" w:rsidR="00605A9D" w:rsidRDefault="009B784F" w:rsidP="00605A9D">
      <w:pPr>
        <w:pStyle w:val="Heading2"/>
      </w:pPr>
      <w:r>
        <w:t>Additional Supporting Information</w:t>
      </w:r>
    </w:p>
    <w:p w14:paraId="4876864E" w14:textId="0341D6C4" w:rsidR="00D971CB" w:rsidRDefault="00942341" w:rsidP="00845DFC">
      <w:pPr>
        <w:rPr>
          <w:rFonts w:ascii="Garamond" w:hAnsi="Garamond"/>
          <w:sz w:val="24"/>
          <w:szCs w:val="24"/>
        </w:rPr>
      </w:pPr>
      <w:r>
        <w:rPr>
          <w:rFonts w:ascii="Garamond" w:hAnsi="Garamond"/>
          <w:sz w:val="24"/>
          <w:szCs w:val="24"/>
        </w:rPr>
        <w:t>In general, c</w:t>
      </w:r>
      <w:r w:rsidRPr="00812FD7">
        <w:rPr>
          <w:rFonts w:ascii="Garamond" w:hAnsi="Garamond"/>
          <w:sz w:val="24"/>
          <w:szCs w:val="24"/>
        </w:rPr>
        <w:t xml:space="preserve">ontaminants may enter the </w:t>
      </w:r>
      <w:r>
        <w:rPr>
          <w:rFonts w:ascii="Garamond" w:hAnsi="Garamond"/>
          <w:sz w:val="24"/>
          <w:szCs w:val="24"/>
        </w:rPr>
        <w:t>r</w:t>
      </w:r>
      <w:r w:rsidRPr="00812FD7">
        <w:rPr>
          <w:rFonts w:ascii="Garamond" w:hAnsi="Garamond"/>
          <w:sz w:val="24"/>
          <w:szCs w:val="24"/>
        </w:rPr>
        <w:t xml:space="preserve">iver from </w:t>
      </w:r>
      <w:r>
        <w:rPr>
          <w:rFonts w:ascii="Garamond" w:hAnsi="Garamond"/>
          <w:sz w:val="24"/>
          <w:szCs w:val="24"/>
        </w:rPr>
        <w:t>any</w:t>
      </w:r>
      <w:r w:rsidRPr="00812FD7">
        <w:rPr>
          <w:rFonts w:ascii="Garamond" w:hAnsi="Garamond"/>
          <w:sz w:val="24"/>
          <w:szCs w:val="24"/>
        </w:rPr>
        <w:t xml:space="preserve"> contaminated sites that border the river</w:t>
      </w:r>
      <w:r>
        <w:rPr>
          <w:rFonts w:ascii="Garamond" w:hAnsi="Garamond"/>
          <w:sz w:val="24"/>
          <w:szCs w:val="24"/>
        </w:rPr>
        <w:t>, as well as from other river segments or tributaries (Hayward and Buchanan, 2007)</w:t>
      </w:r>
      <w:r w:rsidRPr="00812FD7">
        <w:rPr>
          <w:rFonts w:ascii="Garamond" w:hAnsi="Garamond"/>
          <w:sz w:val="24"/>
          <w:szCs w:val="24"/>
        </w:rPr>
        <w:t>. Contaminant entry pathways include erosion and transport of contaminated soil, contaminated runoff, and seepage of contaminated groundwater.</w:t>
      </w:r>
      <w:r>
        <w:rPr>
          <w:rFonts w:ascii="Garamond" w:hAnsi="Garamond"/>
          <w:sz w:val="24"/>
          <w:szCs w:val="24"/>
        </w:rPr>
        <w:t xml:space="preserve"> The </w:t>
      </w:r>
      <w:proofErr w:type="spellStart"/>
      <w:r>
        <w:t>Coan</w:t>
      </w:r>
      <w:proofErr w:type="spellEnd"/>
      <w:r>
        <w:t xml:space="preserve"> River has an estimated PCB baseload of 15 grams/year total PCBs, and a TMDL load of 6.98 g/</w:t>
      </w:r>
      <w:proofErr w:type="spellStart"/>
      <w:r>
        <w:t>yr</w:t>
      </w:r>
      <w:proofErr w:type="spellEnd"/>
      <w:r>
        <w:t xml:space="preserve">, representing a needed load reduction of 53.5%. </w:t>
      </w:r>
      <w:r w:rsidR="00E62AF0">
        <w:rPr>
          <w:rFonts w:ascii="Garamond" w:hAnsi="Garamond"/>
          <w:sz w:val="24"/>
          <w:szCs w:val="24"/>
        </w:rPr>
        <w:t xml:space="preserve">Modeling in support of TMDL development showed that in addition to direct load reduction, meeting </w:t>
      </w:r>
      <w:r w:rsidR="00E62AF0" w:rsidRPr="00D76A8C">
        <w:rPr>
          <w:rFonts w:ascii="Garamond" w:hAnsi="Garamond"/>
          <w:sz w:val="24"/>
          <w:szCs w:val="24"/>
        </w:rPr>
        <w:t xml:space="preserve">water column and sediment targets in the tidal </w:t>
      </w:r>
      <w:proofErr w:type="spellStart"/>
      <w:r w:rsidR="00E62AF0" w:rsidRPr="00D76A8C">
        <w:rPr>
          <w:rFonts w:ascii="Garamond" w:hAnsi="Garamond"/>
          <w:sz w:val="24"/>
          <w:szCs w:val="24"/>
        </w:rPr>
        <w:t>Coan</w:t>
      </w:r>
      <w:proofErr w:type="spellEnd"/>
      <w:r w:rsidR="00E62AF0" w:rsidRPr="00D76A8C">
        <w:rPr>
          <w:rFonts w:ascii="Garamond" w:hAnsi="Garamond"/>
          <w:sz w:val="24"/>
          <w:szCs w:val="24"/>
        </w:rPr>
        <w:t xml:space="preserve"> River </w:t>
      </w:r>
      <w:r w:rsidR="00E62AF0">
        <w:rPr>
          <w:rFonts w:ascii="Garamond" w:hAnsi="Garamond"/>
          <w:sz w:val="24"/>
          <w:szCs w:val="24"/>
        </w:rPr>
        <w:t xml:space="preserve">would also require </w:t>
      </w:r>
      <w:r w:rsidR="00E62AF0" w:rsidRPr="00D76A8C">
        <w:rPr>
          <w:rFonts w:ascii="Garamond" w:hAnsi="Garamond"/>
          <w:sz w:val="24"/>
          <w:szCs w:val="24"/>
        </w:rPr>
        <w:t>that the PCB concentration at the boundary with the Chesapeake Bay be reduced by 33% from the</w:t>
      </w:r>
      <w:r w:rsidR="00E62AF0">
        <w:rPr>
          <w:rFonts w:ascii="Garamond" w:hAnsi="Garamond"/>
          <w:sz w:val="24"/>
          <w:szCs w:val="24"/>
        </w:rPr>
        <w:t xml:space="preserve"> </w:t>
      </w:r>
      <w:r w:rsidR="00E62AF0" w:rsidRPr="00D76A8C">
        <w:rPr>
          <w:rFonts w:ascii="Garamond" w:hAnsi="Garamond"/>
          <w:sz w:val="24"/>
          <w:szCs w:val="24"/>
        </w:rPr>
        <w:t>Baseli</w:t>
      </w:r>
      <w:r>
        <w:rPr>
          <w:rFonts w:ascii="Garamond" w:hAnsi="Garamond"/>
          <w:sz w:val="24"/>
          <w:szCs w:val="24"/>
        </w:rPr>
        <w:t xml:space="preserve">ne 0.108 ng/l to 0.072 ng/l PCB (Hayward and Buchanan, 2007). Meeting these targets also assume a </w:t>
      </w:r>
      <w:r w:rsidRPr="00FC7EC9">
        <w:rPr>
          <w:rFonts w:ascii="Garamond" w:hAnsi="Garamond"/>
          <w:sz w:val="24"/>
          <w:szCs w:val="24"/>
        </w:rPr>
        <w:t>93% reduction in atmospheric deposition</w:t>
      </w:r>
      <w:r>
        <w:rPr>
          <w:rFonts w:ascii="Garamond" w:hAnsi="Garamond"/>
          <w:sz w:val="24"/>
          <w:szCs w:val="24"/>
        </w:rPr>
        <w:t xml:space="preserve"> </w:t>
      </w:r>
      <w:r w:rsidRPr="00FC7EC9">
        <w:rPr>
          <w:rFonts w:ascii="Garamond" w:hAnsi="Garamond"/>
          <w:sz w:val="24"/>
          <w:szCs w:val="24"/>
        </w:rPr>
        <w:t>everywhere</w:t>
      </w:r>
      <w:r>
        <w:rPr>
          <w:rFonts w:ascii="Garamond" w:hAnsi="Garamond"/>
          <w:sz w:val="24"/>
          <w:szCs w:val="24"/>
        </w:rPr>
        <w:t xml:space="preserve">. </w:t>
      </w:r>
    </w:p>
    <w:p w14:paraId="5C11B609" w14:textId="77777777" w:rsidR="00AA337C" w:rsidRDefault="00AA337C" w:rsidP="00845DFC">
      <w:r>
        <w:br w:type="page"/>
      </w:r>
    </w:p>
    <w:p w14:paraId="3527ED48" w14:textId="7801DCB8" w:rsidR="00AA337C" w:rsidRPr="00C275C0" w:rsidRDefault="00B96FDE" w:rsidP="0068263E">
      <w:pPr>
        <w:pStyle w:val="Heading1"/>
      </w:pPr>
      <w:r>
        <w:lastRenderedPageBreak/>
        <w:t>Example Management Activity</w:t>
      </w:r>
      <w:r w:rsidR="00AA337C">
        <w:t xml:space="preserve"> 2</w:t>
      </w:r>
      <w:r w:rsidR="00AA337C" w:rsidRPr="00C275C0">
        <w:t xml:space="preserve">: </w:t>
      </w:r>
      <w:r w:rsidR="00AA337C">
        <w:t>Potomac River PCB TMDL</w:t>
      </w:r>
      <w:r w:rsidR="00AA337C" w:rsidRPr="00C275C0">
        <w:t xml:space="preserve">. </w:t>
      </w:r>
    </w:p>
    <w:p w14:paraId="1CD74D21" w14:textId="77777777" w:rsidR="00E10195" w:rsidRDefault="00E10195" w:rsidP="00E10195">
      <w:pPr>
        <w:pStyle w:val="Heading2"/>
      </w:pPr>
      <w:r>
        <w:t>Example Activity</w:t>
      </w:r>
    </w:p>
    <w:p w14:paraId="5CBA8EE7" w14:textId="729C19D8" w:rsidR="00E45FC1" w:rsidRDefault="0025274A" w:rsidP="00E45FC1">
      <w:pPr>
        <w:rPr>
          <w:rFonts w:ascii="Garamond" w:hAnsi="Garamond"/>
          <w:sz w:val="24"/>
          <w:szCs w:val="24"/>
        </w:rPr>
      </w:pPr>
      <w:r w:rsidRPr="0025274A">
        <w:rPr>
          <w:rFonts w:ascii="Garamond" w:hAnsi="Garamond"/>
          <w:sz w:val="24"/>
          <w:szCs w:val="24"/>
        </w:rPr>
        <w:t xml:space="preserve">PCBs have been identified by the Toxic Contaminant Workgroup as a primary work plan focus, and </w:t>
      </w:r>
      <w:r w:rsidR="005161DA">
        <w:rPr>
          <w:rFonts w:ascii="Garamond" w:hAnsi="Garamond"/>
          <w:sz w:val="24"/>
          <w:szCs w:val="24"/>
        </w:rPr>
        <w:t>t</w:t>
      </w:r>
      <w:r w:rsidRPr="0025274A">
        <w:rPr>
          <w:rFonts w:ascii="Garamond" w:hAnsi="Garamond"/>
          <w:sz w:val="24"/>
          <w:szCs w:val="24"/>
        </w:rPr>
        <w:t>ota</w:t>
      </w:r>
      <w:r w:rsidR="000F23A5">
        <w:rPr>
          <w:rFonts w:ascii="Garamond" w:hAnsi="Garamond"/>
          <w:sz w:val="24"/>
          <w:szCs w:val="24"/>
        </w:rPr>
        <w:t xml:space="preserve">l </w:t>
      </w:r>
      <w:r w:rsidR="005161DA">
        <w:rPr>
          <w:rFonts w:ascii="Garamond" w:hAnsi="Garamond"/>
          <w:sz w:val="24"/>
          <w:szCs w:val="24"/>
        </w:rPr>
        <w:t>m</w:t>
      </w:r>
      <w:r w:rsidR="000F23A5">
        <w:rPr>
          <w:rFonts w:ascii="Garamond" w:hAnsi="Garamond"/>
          <w:sz w:val="24"/>
          <w:szCs w:val="24"/>
        </w:rPr>
        <w:t xml:space="preserve">aximum </w:t>
      </w:r>
      <w:r w:rsidR="005161DA">
        <w:rPr>
          <w:rFonts w:ascii="Garamond" w:hAnsi="Garamond"/>
          <w:sz w:val="24"/>
          <w:szCs w:val="24"/>
        </w:rPr>
        <w:t>d</w:t>
      </w:r>
      <w:r w:rsidR="000F23A5">
        <w:rPr>
          <w:rFonts w:ascii="Garamond" w:hAnsi="Garamond"/>
          <w:sz w:val="24"/>
          <w:szCs w:val="24"/>
        </w:rPr>
        <w:t xml:space="preserve">aily </w:t>
      </w:r>
      <w:r w:rsidR="005161DA">
        <w:rPr>
          <w:rFonts w:ascii="Garamond" w:hAnsi="Garamond"/>
          <w:sz w:val="24"/>
          <w:szCs w:val="24"/>
        </w:rPr>
        <w:t>l</w:t>
      </w:r>
      <w:r w:rsidR="000F23A5">
        <w:rPr>
          <w:rFonts w:ascii="Garamond" w:hAnsi="Garamond"/>
          <w:sz w:val="24"/>
          <w:szCs w:val="24"/>
        </w:rPr>
        <w:t>oads (TMDLs) are</w:t>
      </w:r>
      <w:r w:rsidRPr="0025274A">
        <w:rPr>
          <w:rFonts w:ascii="Garamond" w:hAnsi="Garamond"/>
          <w:sz w:val="24"/>
          <w:szCs w:val="24"/>
        </w:rPr>
        <w:t xml:space="preserve"> a key mechanism through which Toxic Contaminant Workgroup goals </w:t>
      </w:r>
      <w:r w:rsidR="00E10195">
        <w:rPr>
          <w:rFonts w:ascii="Garamond" w:hAnsi="Garamond"/>
          <w:sz w:val="24"/>
          <w:szCs w:val="24"/>
        </w:rPr>
        <w:t xml:space="preserve">will </w:t>
      </w:r>
      <w:r w:rsidRPr="0025274A">
        <w:rPr>
          <w:rFonts w:ascii="Garamond" w:hAnsi="Garamond"/>
          <w:sz w:val="24"/>
          <w:szCs w:val="24"/>
        </w:rPr>
        <w:t xml:space="preserve">be implemented. </w:t>
      </w:r>
      <w:r w:rsidR="00E45FC1" w:rsidRPr="0025274A">
        <w:rPr>
          <w:rFonts w:ascii="Garamond" w:hAnsi="Garamond"/>
          <w:sz w:val="24"/>
          <w:szCs w:val="24"/>
        </w:rPr>
        <w:t>The Potomac River PCB TMDL</w:t>
      </w:r>
      <w:r w:rsidR="001670DB">
        <w:rPr>
          <w:rFonts w:ascii="Garamond" w:hAnsi="Garamond"/>
          <w:sz w:val="24"/>
          <w:szCs w:val="24"/>
        </w:rPr>
        <w:t xml:space="preserve"> (Figure 2)</w:t>
      </w:r>
      <w:r w:rsidR="00E45FC1" w:rsidRPr="0025274A">
        <w:rPr>
          <w:rFonts w:ascii="Garamond" w:hAnsi="Garamond"/>
          <w:sz w:val="24"/>
          <w:szCs w:val="24"/>
        </w:rPr>
        <w:t xml:space="preserve"> has been published (Interstate Commission on the Potomac River Basin, 2007) and various recommended next steps are underway for filling data/information gaps and initiating remediation investigations. This TMDL will be used as a strawman for exploring where critical components o</w:t>
      </w:r>
      <w:r w:rsidR="00E45FC1">
        <w:rPr>
          <w:rFonts w:ascii="Garamond" w:hAnsi="Garamond"/>
          <w:sz w:val="24"/>
          <w:szCs w:val="24"/>
        </w:rPr>
        <w:t>r</w:t>
      </w:r>
      <w:r w:rsidR="00E45FC1" w:rsidRPr="0025274A">
        <w:rPr>
          <w:rFonts w:ascii="Garamond" w:hAnsi="Garamond"/>
          <w:sz w:val="24"/>
          <w:szCs w:val="24"/>
        </w:rPr>
        <w:t xml:space="preserve"> assumptions of the TMDL may be vulnerable to climate change (e.g., the assumptions regarding seasonality and critical flow conditions), and how they might be reviewed/revised.</w:t>
      </w:r>
      <w:r w:rsidR="00E45FC1">
        <w:rPr>
          <w:rFonts w:ascii="Garamond" w:hAnsi="Garamond"/>
          <w:sz w:val="24"/>
          <w:szCs w:val="24"/>
        </w:rPr>
        <w:t xml:space="preserve"> </w:t>
      </w:r>
      <w:r w:rsidR="00E45FC1" w:rsidRPr="0025274A">
        <w:rPr>
          <w:rFonts w:ascii="Garamond" w:hAnsi="Garamond"/>
          <w:sz w:val="24"/>
          <w:szCs w:val="24"/>
        </w:rPr>
        <w:t>There are numerous potential intersection</w:t>
      </w:r>
      <w:r w:rsidR="005161DA">
        <w:rPr>
          <w:rFonts w:ascii="Garamond" w:hAnsi="Garamond"/>
          <w:sz w:val="24"/>
          <w:szCs w:val="24"/>
        </w:rPr>
        <w:t>s</w:t>
      </w:r>
      <w:r w:rsidR="00E45FC1" w:rsidRPr="0025274A">
        <w:rPr>
          <w:rFonts w:ascii="Garamond" w:hAnsi="Garamond"/>
          <w:sz w:val="24"/>
          <w:szCs w:val="24"/>
        </w:rPr>
        <w:t xml:space="preserve"> between the TMDL process and climate change assessment</w:t>
      </w:r>
      <w:r w:rsidR="00E45FC1">
        <w:rPr>
          <w:rFonts w:ascii="Garamond" w:hAnsi="Garamond"/>
          <w:sz w:val="24"/>
          <w:szCs w:val="24"/>
        </w:rPr>
        <w:t xml:space="preserve">, which can be explored with regard to the Potomac River PCB TMDL. </w:t>
      </w:r>
      <w:r w:rsidR="00827796">
        <w:rPr>
          <w:rFonts w:ascii="Garamond" w:hAnsi="Garamond"/>
          <w:sz w:val="24"/>
          <w:szCs w:val="24"/>
        </w:rPr>
        <w:t xml:space="preserve">To help think about these, Figure </w:t>
      </w:r>
      <w:r w:rsidR="001670DB">
        <w:rPr>
          <w:rFonts w:ascii="Garamond" w:hAnsi="Garamond"/>
          <w:sz w:val="24"/>
          <w:szCs w:val="24"/>
        </w:rPr>
        <w:t>3</w:t>
      </w:r>
      <w:r w:rsidR="00827796">
        <w:rPr>
          <w:rFonts w:ascii="Garamond" w:hAnsi="Garamond"/>
          <w:sz w:val="24"/>
          <w:szCs w:val="24"/>
        </w:rPr>
        <w:t xml:space="preserve"> summarizes key elements of the TMDL process. </w:t>
      </w:r>
    </w:p>
    <w:p w14:paraId="2D67E554" w14:textId="32B5A2F0" w:rsidR="001670DB" w:rsidRDefault="0032265D" w:rsidP="00E45FC1">
      <w:pPr>
        <w:rPr>
          <w:rFonts w:ascii="Garamond" w:hAnsi="Garamond"/>
          <w:sz w:val="24"/>
          <w:szCs w:val="24"/>
        </w:rPr>
      </w:pPr>
      <w:r w:rsidRPr="00FE486A">
        <w:rPr>
          <w:rFonts w:ascii="Garamond" w:hAnsi="Garamond"/>
          <w:sz w:val="24"/>
          <w:szCs w:val="24"/>
        </w:rPr>
        <w:t>BMPs that might commonly be utilized to remediate PCB contamination</w:t>
      </w:r>
      <w:r w:rsidRPr="001670DB">
        <w:rPr>
          <w:noProof/>
        </w:rPr>
        <w:t xml:space="preserve"> </w:t>
      </w:r>
      <w:r w:rsidR="001670DB" w:rsidRPr="001670DB">
        <w:rPr>
          <w:noProof/>
        </w:rPr>
        <w:drawing>
          <wp:inline distT="0" distB="0" distL="0" distR="0" wp14:anchorId="3A0271D3" wp14:editId="6EF653F9">
            <wp:extent cx="5019675" cy="50266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4834" cy="5031814"/>
                    </a:xfrm>
                    <a:prstGeom prst="rect">
                      <a:avLst/>
                    </a:prstGeom>
                  </pic:spPr>
                </pic:pic>
              </a:graphicData>
            </a:graphic>
          </wp:inline>
        </w:drawing>
      </w:r>
    </w:p>
    <w:p w14:paraId="717E260C" w14:textId="3A78904B" w:rsidR="001670DB" w:rsidRPr="00605A9D" w:rsidRDefault="001670DB" w:rsidP="001670DB">
      <w:pPr>
        <w:rPr>
          <w:rFonts w:ascii="Garamond" w:hAnsi="Garamond"/>
          <w:szCs w:val="24"/>
        </w:rPr>
      </w:pPr>
      <w:r w:rsidRPr="00605A9D">
        <w:rPr>
          <w:rStyle w:val="IntenseReference"/>
          <w:rFonts w:ascii="Garamond" w:hAnsi="Garamond"/>
        </w:rPr>
        <w:lastRenderedPageBreak/>
        <w:t>Figure 2</w:t>
      </w:r>
      <w:r w:rsidRPr="00605A9D">
        <w:rPr>
          <w:rFonts w:ascii="Garamond" w:hAnsi="Garamond"/>
          <w:szCs w:val="24"/>
        </w:rPr>
        <w:t xml:space="preserve">. </w:t>
      </w:r>
      <w:r>
        <w:rPr>
          <w:rFonts w:ascii="Garamond" w:hAnsi="Garamond"/>
          <w:szCs w:val="24"/>
        </w:rPr>
        <w:t>PCB impaired waterbodies in the lower Potomac River Basin (from Hayward and Buchanan, 2007).</w:t>
      </w:r>
    </w:p>
    <w:p w14:paraId="5ABC4E6C" w14:textId="77777777" w:rsidR="001670DB" w:rsidRDefault="001670DB" w:rsidP="00E45FC1">
      <w:pPr>
        <w:rPr>
          <w:rFonts w:ascii="Garamond" w:hAnsi="Garamond"/>
          <w:sz w:val="24"/>
          <w:szCs w:val="24"/>
        </w:rPr>
      </w:pPr>
    </w:p>
    <w:p w14:paraId="07622C2D" w14:textId="7E71EBC2" w:rsidR="000F23A5" w:rsidRDefault="000F23A5" w:rsidP="00E45FC1">
      <w:pPr>
        <w:rPr>
          <w:rFonts w:ascii="Garamond" w:hAnsi="Garamond"/>
          <w:sz w:val="24"/>
          <w:szCs w:val="24"/>
        </w:rPr>
      </w:pPr>
      <w:r>
        <w:rPr>
          <w:noProof/>
        </w:rPr>
        <w:drawing>
          <wp:inline distT="0" distB="0" distL="0" distR="0" wp14:anchorId="736E6517" wp14:editId="10128692">
            <wp:extent cx="4972050" cy="4507627"/>
            <wp:effectExtent l="0" t="0" r="0" b="7620"/>
            <wp:docPr id="1" name="Picture 1" descr="Process Roadmap_TM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 Roadmap_TMD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486" cy="4514369"/>
                    </a:xfrm>
                    <a:prstGeom prst="rect">
                      <a:avLst/>
                    </a:prstGeom>
                    <a:noFill/>
                    <a:ln>
                      <a:noFill/>
                    </a:ln>
                    <a:effectLst/>
                  </pic:spPr>
                </pic:pic>
              </a:graphicData>
            </a:graphic>
          </wp:inline>
        </w:drawing>
      </w:r>
    </w:p>
    <w:p w14:paraId="6CDAA0F2" w14:textId="37DB89C1" w:rsidR="005F6629" w:rsidRPr="00605A9D" w:rsidRDefault="005F6629" w:rsidP="005F6629">
      <w:pPr>
        <w:rPr>
          <w:rFonts w:ascii="Garamond" w:hAnsi="Garamond"/>
          <w:szCs w:val="24"/>
        </w:rPr>
      </w:pPr>
      <w:r w:rsidRPr="00605A9D">
        <w:rPr>
          <w:rStyle w:val="IntenseReference"/>
          <w:rFonts w:ascii="Garamond" w:hAnsi="Garamond"/>
        </w:rPr>
        <w:t xml:space="preserve">Figure </w:t>
      </w:r>
      <w:r w:rsidR="001670DB">
        <w:rPr>
          <w:rStyle w:val="IntenseReference"/>
          <w:rFonts w:ascii="Garamond" w:hAnsi="Garamond"/>
        </w:rPr>
        <w:t>3</w:t>
      </w:r>
      <w:r w:rsidRPr="00605A9D">
        <w:rPr>
          <w:rFonts w:ascii="Garamond" w:hAnsi="Garamond"/>
          <w:szCs w:val="24"/>
        </w:rPr>
        <w:t xml:space="preserve">. </w:t>
      </w:r>
      <w:r>
        <w:rPr>
          <w:rFonts w:ascii="Garamond" w:hAnsi="Garamond"/>
          <w:szCs w:val="24"/>
        </w:rPr>
        <w:t>TMDL process and elements (from Tetra Tech, 2015).</w:t>
      </w:r>
    </w:p>
    <w:p w14:paraId="5C4562F5" w14:textId="77777777" w:rsidR="000F23A5" w:rsidRDefault="000F23A5" w:rsidP="00E45FC1">
      <w:pPr>
        <w:rPr>
          <w:rFonts w:ascii="Garamond" w:hAnsi="Garamond"/>
          <w:sz w:val="24"/>
          <w:szCs w:val="24"/>
        </w:rPr>
      </w:pPr>
    </w:p>
    <w:p w14:paraId="6CF23C13" w14:textId="7CC7B00F" w:rsidR="000F23A5" w:rsidRDefault="000F23A5" w:rsidP="00E45FC1">
      <w:pPr>
        <w:rPr>
          <w:rFonts w:ascii="Garamond" w:hAnsi="Garamond"/>
          <w:sz w:val="24"/>
          <w:szCs w:val="24"/>
        </w:rPr>
      </w:pPr>
      <w:r>
        <w:rPr>
          <w:rFonts w:ascii="Garamond" w:hAnsi="Garamond"/>
          <w:sz w:val="24"/>
          <w:szCs w:val="24"/>
        </w:rPr>
        <w:t>Activities conducted for the Potomac River PCB TMDL which might be considered in terms of their vulnerability to various climate changes include (but are not limited to):</w:t>
      </w:r>
    </w:p>
    <w:p w14:paraId="6C04CB51" w14:textId="43163203" w:rsidR="000F23A5" w:rsidRDefault="001B3D1C" w:rsidP="001B3D1C">
      <w:pPr>
        <w:pStyle w:val="ListParagraph"/>
        <w:numPr>
          <w:ilvl w:val="0"/>
          <w:numId w:val="4"/>
        </w:numPr>
        <w:rPr>
          <w:rFonts w:ascii="Garamond" w:hAnsi="Garamond"/>
          <w:sz w:val="24"/>
          <w:szCs w:val="24"/>
        </w:rPr>
      </w:pPr>
      <w:r w:rsidRPr="001B3D1C">
        <w:rPr>
          <w:rFonts w:ascii="Garamond" w:hAnsi="Garamond"/>
          <w:sz w:val="24"/>
          <w:szCs w:val="24"/>
        </w:rPr>
        <w:t>Identification of PCB sources and modeling and analysis of associated PCB loads.</w:t>
      </w:r>
    </w:p>
    <w:p w14:paraId="505A3A41" w14:textId="4CEC7414" w:rsidR="001B3D1C" w:rsidRDefault="001B3D1C" w:rsidP="001B3D1C">
      <w:pPr>
        <w:pStyle w:val="ListParagraph"/>
        <w:numPr>
          <w:ilvl w:val="0"/>
          <w:numId w:val="4"/>
        </w:numPr>
        <w:rPr>
          <w:rFonts w:ascii="Garamond" w:hAnsi="Garamond"/>
          <w:sz w:val="24"/>
          <w:szCs w:val="24"/>
        </w:rPr>
      </w:pPr>
      <w:r>
        <w:rPr>
          <w:rFonts w:ascii="Garamond" w:hAnsi="Garamond"/>
          <w:sz w:val="24"/>
          <w:szCs w:val="24"/>
        </w:rPr>
        <w:t xml:space="preserve">Development and calibration of the </w:t>
      </w:r>
      <w:r w:rsidRPr="001B3D1C">
        <w:rPr>
          <w:rFonts w:ascii="Garamond" w:hAnsi="Garamond"/>
          <w:sz w:val="24"/>
          <w:szCs w:val="24"/>
        </w:rPr>
        <w:t>linked hydrodynamic and PCB transport and fate model (POTPCB)</w:t>
      </w:r>
      <w:r>
        <w:rPr>
          <w:rFonts w:ascii="Garamond" w:hAnsi="Garamond"/>
          <w:sz w:val="24"/>
          <w:szCs w:val="24"/>
        </w:rPr>
        <w:t>.</w:t>
      </w:r>
    </w:p>
    <w:p w14:paraId="69D935A9" w14:textId="5444B667" w:rsidR="001B3D1C" w:rsidRDefault="001B3D1C" w:rsidP="001B3D1C">
      <w:pPr>
        <w:pStyle w:val="ListParagraph"/>
        <w:numPr>
          <w:ilvl w:val="0"/>
          <w:numId w:val="4"/>
        </w:numPr>
        <w:rPr>
          <w:rFonts w:ascii="Garamond" w:hAnsi="Garamond"/>
          <w:sz w:val="24"/>
          <w:szCs w:val="24"/>
        </w:rPr>
      </w:pPr>
      <w:r>
        <w:rPr>
          <w:rFonts w:ascii="Garamond" w:hAnsi="Garamond"/>
          <w:sz w:val="24"/>
          <w:szCs w:val="24"/>
        </w:rPr>
        <w:t>Calculation of new water column PCB concentrations that would be protective of fish tissue concentrations.</w:t>
      </w:r>
    </w:p>
    <w:p w14:paraId="4D11A974" w14:textId="27543409" w:rsidR="001B3D1C" w:rsidRDefault="00CF546E" w:rsidP="00915B30">
      <w:pPr>
        <w:pStyle w:val="ListParagraph"/>
        <w:numPr>
          <w:ilvl w:val="0"/>
          <w:numId w:val="4"/>
        </w:numPr>
        <w:rPr>
          <w:rFonts w:ascii="Garamond" w:hAnsi="Garamond"/>
          <w:sz w:val="24"/>
          <w:szCs w:val="24"/>
        </w:rPr>
      </w:pPr>
      <w:r>
        <w:rPr>
          <w:rFonts w:ascii="Garamond" w:hAnsi="Garamond"/>
          <w:sz w:val="24"/>
          <w:szCs w:val="24"/>
        </w:rPr>
        <w:t>Calculation of PCB loads and load allocations (i.e. r</w:t>
      </w:r>
      <w:r w:rsidR="001B3D1C">
        <w:rPr>
          <w:rFonts w:ascii="Garamond" w:hAnsi="Garamond"/>
          <w:sz w:val="24"/>
          <w:szCs w:val="24"/>
        </w:rPr>
        <w:t>unning of t</w:t>
      </w:r>
      <w:r w:rsidR="001B3D1C" w:rsidRPr="001B3D1C">
        <w:rPr>
          <w:rFonts w:ascii="Garamond" w:hAnsi="Garamond"/>
          <w:sz w:val="24"/>
          <w:szCs w:val="24"/>
        </w:rPr>
        <w:t xml:space="preserve">he POTPCB model with a series of loading scenarios </w:t>
      </w:r>
      <w:r w:rsidR="001B3D1C">
        <w:rPr>
          <w:rFonts w:ascii="Garamond" w:hAnsi="Garamond"/>
          <w:sz w:val="24"/>
          <w:szCs w:val="24"/>
        </w:rPr>
        <w:t>to identify</w:t>
      </w:r>
      <w:r w:rsidR="001B3D1C" w:rsidRPr="001B3D1C">
        <w:rPr>
          <w:rFonts w:ascii="Garamond" w:hAnsi="Garamond"/>
          <w:sz w:val="24"/>
          <w:szCs w:val="24"/>
        </w:rPr>
        <w:t xml:space="preserve"> the impact</w:t>
      </w:r>
      <w:r w:rsidR="001B3D1C">
        <w:rPr>
          <w:rFonts w:ascii="Garamond" w:hAnsi="Garamond"/>
          <w:sz w:val="24"/>
          <w:szCs w:val="24"/>
        </w:rPr>
        <w:t>s</w:t>
      </w:r>
      <w:r w:rsidR="001B3D1C" w:rsidRPr="001B3D1C">
        <w:rPr>
          <w:rFonts w:ascii="Garamond" w:hAnsi="Garamond"/>
          <w:sz w:val="24"/>
          <w:szCs w:val="24"/>
        </w:rPr>
        <w:t xml:space="preserve"> of individual sources, and then with an iterative series of input load</w:t>
      </w:r>
      <w:r w:rsidR="001B3D1C">
        <w:rPr>
          <w:rFonts w:ascii="Garamond" w:hAnsi="Garamond"/>
          <w:sz w:val="24"/>
          <w:szCs w:val="24"/>
        </w:rPr>
        <w:t xml:space="preserve"> </w:t>
      </w:r>
      <w:r w:rsidR="001B3D1C" w:rsidRPr="001B3D1C">
        <w:rPr>
          <w:rFonts w:ascii="Garamond" w:hAnsi="Garamond"/>
          <w:sz w:val="24"/>
          <w:szCs w:val="24"/>
        </w:rPr>
        <w:t xml:space="preserve">adjustments </w:t>
      </w:r>
      <w:r w:rsidR="001B3D1C">
        <w:rPr>
          <w:rFonts w:ascii="Garamond" w:hAnsi="Garamond"/>
          <w:sz w:val="24"/>
          <w:szCs w:val="24"/>
        </w:rPr>
        <w:t>to characterize</w:t>
      </w:r>
      <w:r w:rsidR="001B3D1C" w:rsidRPr="001B3D1C">
        <w:rPr>
          <w:rFonts w:ascii="Garamond" w:hAnsi="Garamond"/>
          <w:sz w:val="24"/>
          <w:szCs w:val="24"/>
        </w:rPr>
        <w:t xml:space="preserve"> a set of loads (the TMDL scenario) that </w:t>
      </w:r>
      <w:r w:rsidR="001B3D1C">
        <w:rPr>
          <w:rFonts w:ascii="Garamond" w:hAnsi="Garamond"/>
          <w:sz w:val="24"/>
          <w:szCs w:val="24"/>
        </w:rPr>
        <w:t>would meet</w:t>
      </w:r>
      <w:r w:rsidR="001B3D1C" w:rsidRPr="001B3D1C">
        <w:rPr>
          <w:rFonts w:ascii="Garamond" w:hAnsi="Garamond"/>
          <w:sz w:val="24"/>
          <w:szCs w:val="24"/>
        </w:rPr>
        <w:t xml:space="preserve"> water column target</w:t>
      </w:r>
      <w:r w:rsidR="001B3D1C">
        <w:rPr>
          <w:rFonts w:ascii="Garamond" w:hAnsi="Garamond"/>
          <w:sz w:val="24"/>
          <w:szCs w:val="24"/>
        </w:rPr>
        <w:t>s</w:t>
      </w:r>
      <w:r w:rsidR="001B3D1C" w:rsidRPr="001B3D1C">
        <w:rPr>
          <w:rFonts w:ascii="Garamond" w:hAnsi="Garamond"/>
          <w:sz w:val="24"/>
          <w:szCs w:val="24"/>
        </w:rPr>
        <w:t xml:space="preserve"> in all model segments.</w:t>
      </w:r>
    </w:p>
    <w:p w14:paraId="1E5BEECB" w14:textId="145081C9" w:rsidR="00F508C2" w:rsidRDefault="00CF546E" w:rsidP="00030D58">
      <w:pPr>
        <w:pStyle w:val="ListParagraph"/>
        <w:numPr>
          <w:ilvl w:val="0"/>
          <w:numId w:val="4"/>
        </w:numPr>
        <w:rPr>
          <w:rFonts w:ascii="Garamond" w:hAnsi="Garamond"/>
          <w:sz w:val="24"/>
          <w:szCs w:val="24"/>
        </w:rPr>
      </w:pPr>
      <w:r>
        <w:rPr>
          <w:rFonts w:ascii="Garamond" w:hAnsi="Garamond"/>
          <w:sz w:val="24"/>
          <w:szCs w:val="24"/>
        </w:rPr>
        <w:lastRenderedPageBreak/>
        <w:t>Selection, calculation, and utilization in modeling of various critical flows</w:t>
      </w:r>
      <w:r w:rsidR="00480663">
        <w:rPr>
          <w:rFonts w:ascii="Garamond" w:hAnsi="Garamond"/>
          <w:sz w:val="24"/>
          <w:szCs w:val="24"/>
        </w:rPr>
        <w:t>. F</w:t>
      </w:r>
      <w:r>
        <w:rPr>
          <w:rFonts w:ascii="Garamond" w:hAnsi="Garamond"/>
          <w:sz w:val="24"/>
          <w:szCs w:val="24"/>
        </w:rPr>
        <w:t>or example, it is necessary to a</w:t>
      </w:r>
      <w:r w:rsidR="00F508C2" w:rsidRPr="00F508C2">
        <w:rPr>
          <w:rFonts w:ascii="Garamond" w:hAnsi="Garamond"/>
          <w:sz w:val="24"/>
          <w:szCs w:val="24"/>
        </w:rPr>
        <w:t xml:space="preserve">ccount for seasonality and critical conditions related to stream flow, loading, and water quality parameters. </w:t>
      </w:r>
      <w:r>
        <w:rPr>
          <w:rFonts w:ascii="Garamond" w:hAnsi="Garamond"/>
          <w:sz w:val="24"/>
          <w:szCs w:val="24"/>
        </w:rPr>
        <w:t>S</w:t>
      </w:r>
      <w:r w:rsidR="00F508C2" w:rsidRPr="00F508C2">
        <w:rPr>
          <w:rFonts w:ascii="Garamond" w:hAnsi="Garamond"/>
          <w:sz w:val="24"/>
          <w:szCs w:val="24"/>
        </w:rPr>
        <w:t xml:space="preserve">easonality and critical conditions are captured in </w:t>
      </w:r>
      <w:r w:rsidR="00F508C2">
        <w:rPr>
          <w:rFonts w:ascii="Garamond" w:hAnsi="Garamond"/>
          <w:sz w:val="24"/>
          <w:szCs w:val="24"/>
        </w:rPr>
        <w:t>the Potomac PCB</w:t>
      </w:r>
      <w:r w:rsidR="00F508C2" w:rsidRPr="00F508C2">
        <w:rPr>
          <w:rFonts w:ascii="Garamond" w:hAnsi="Garamond"/>
          <w:sz w:val="24"/>
          <w:szCs w:val="24"/>
        </w:rPr>
        <w:t xml:space="preserve"> TMDL us</w:t>
      </w:r>
      <w:r w:rsidR="00F508C2">
        <w:rPr>
          <w:rFonts w:ascii="Garamond" w:hAnsi="Garamond"/>
          <w:sz w:val="24"/>
          <w:szCs w:val="24"/>
        </w:rPr>
        <w:t>ing</w:t>
      </w:r>
      <w:r w:rsidR="00F508C2" w:rsidRPr="00F508C2">
        <w:rPr>
          <w:rFonts w:ascii="Garamond" w:hAnsi="Garamond"/>
          <w:sz w:val="24"/>
          <w:szCs w:val="24"/>
        </w:rPr>
        <w:t xml:space="preserve"> 2005 as the hydrologic design year</w:t>
      </w:r>
      <w:r w:rsidR="00F508C2">
        <w:rPr>
          <w:rFonts w:ascii="Garamond" w:hAnsi="Garamond"/>
          <w:sz w:val="24"/>
          <w:szCs w:val="24"/>
        </w:rPr>
        <w:t>. Baseline conditions for</w:t>
      </w:r>
      <w:r w:rsidR="00F508C2" w:rsidRPr="00F508C2">
        <w:rPr>
          <w:rFonts w:ascii="Garamond" w:hAnsi="Garamond"/>
          <w:sz w:val="24"/>
          <w:szCs w:val="24"/>
        </w:rPr>
        <w:t xml:space="preserve"> daily surface flows and loads of total suspended solids and particulate carbon </w:t>
      </w:r>
      <w:r w:rsidR="00F508C2">
        <w:rPr>
          <w:rFonts w:ascii="Garamond" w:hAnsi="Garamond"/>
          <w:sz w:val="24"/>
          <w:szCs w:val="24"/>
        </w:rPr>
        <w:t xml:space="preserve">come </w:t>
      </w:r>
      <w:r w:rsidR="00F508C2" w:rsidRPr="00F508C2">
        <w:rPr>
          <w:rFonts w:ascii="Garamond" w:hAnsi="Garamond"/>
          <w:sz w:val="24"/>
          <w:szCs w:val="24"/>
        </w:rPr>
        <w:t xml:space="preserve">from 2005. During </w:t>
      </w:r>
      <w:r w:rsidR="00F508C2">
        <w:rPr>
          <w:rFonts w:ascii="Garamond" w:hAnsi="Garamond"/>
          <w:sz w:val="24"/>
          <w:szCs w:val="24"/>
        </w:rPr>
        <w:t>the</w:t>
      </w:r>
      <w:r w:rsidR="00F508C2" w:rsidRPr="00F508C2">
        <w:rPr>
          <w:rFonts w:ascii="Garamond" w:hAnsi="Garamond"/>
          <w:sz w:val="24"/>
          <w:szCs w:val="24"/>
        </w:rPr>
        <w:t xml:space="preserve"> period</w:t>
      </w:r>
      <w:r w:rsidR="00F508C2">
        <w:rPr>
          <w:rFonts w:ascii="Garamond" w:hAnsi="Garamond"/>
          <w:sz w:val="24"/>
          <w:szCs w:val="24"/>
        </w:rPr>
        <w:t xml:space="preserve"> 2002 to 2007 from which flow data were available</w:t>
      </w:r>
      <w:r w:rsidR="00F508C2" w:rsidRPr="00F508C2">
        <w:rPr>
          <w:rFonts w:ascii="Garamond" w:hAnsi="Garamond"/>
          <w:sz w:val="24"/>
          <w:szCs w:val="24"/>
        </w:rPr>
        <w:t>, Potomac River flows in calendar year 2005 most closely matched the river’s long-term harmonic mean flow</w:t>
      </w:r>
      <w:r w:rsidR="00CF44E5">
        <w:rPr>
          <w:rFonts w:ascii="Garamond" w:hAnsi="Garamond"/>
          <w:sz w:val="24"/>
          <w:szCs w:val="24"/>
        </w:rPr>
        <w:t xml:space="preserve"> (</w:t>
      </w:r>
      <w:r w:rsidR="00F508C2" w:rsidRPr="00F508C2">
        <w:rPr>
          <w:rFonts w:ascii="Garamond" w:hAnsi="Garamond"/>
          <w:sz w:val="24"/>
          <w:szCs w:val="24"/>
        </w:rPr>
        <w:t>the flow condition recommended by EPA as the critical condition for TMDLs for substances whose human health impact is derived from lifetime exposure</w:t>
      </w:r>
      <w:r w:rsidR="00480663">
        <w:rPr>
          <w:rFonts w:ascii="Garamond" w:hAnsi="Garamond"/>
          <w:sz w:val="24"/>
          <w:szCs w:val="24"/>
        </w:rPr>
        <w:t>)</w:t>
      </w:r>
      <w:r w:rsidR="00F508C2">
        <w:rPr>
          <w:rFonts w:ascii="Garamond" w:hAnsi="Garamond"/>
          <w:sz w:val="24"/>
          <w:szCs w:val="24"/>
        </w:rPr>
        <w:t>.</w:t>
      </w:r>
    </w:p>
    <w:p w14:paraId="65C82041" w14:textId="498A5B91" w:rsidR="002B7CD6" w:rsidRPr="00F508C2" w:rsidRDefault="002B7CD6" w:rsidP="00030D58">
      <w:pPr>
        <w:pStyle w:val="ListParagraph"/>
        <w:numPr>
          <w:ilvl w:val="0"/>
          <w:numId w:val="4"/>
        </w:numPr>
        <w:rPr>
          <w:rFonts w:ascii="Garamond" w:hAnsi="Garamond"/>
          <w:sz w:val="24"/>
          <w:szCs w:val="24"/>
        </w:rPr>
      </w:pPr>
      <w:r>
        <w:rPr>
          <w:rFonts w:ascii="Garamond" w:hAnsi="Garamond"/>
          <w:sz w:val="24"/>
          <w:szCs w:val="24"/>
        </w:rPr>
        <w:t>The relative influences of flows and loading from one modeled river segment to another.</w:t>
      </w:r>
    </w:p>
    <w:p w14:paraId="7C231305" w14:textId="77FE7947" w:rsidR="00A24F89" w:rsidRPr="001B3D1C" w:rsidRDefault="00A24F89" w:rsidP="00915B30">
      <w:pPr>
        <w:pStyle w:val="ListParagraph"/>
        <w:numPr>
          <w:ilvl w:val="0"/>
          <w:numId w:val="4"/>
        </w:numPr>
        <w:rPr>
          <w:rFonts w:ascii="Garamond" w:hAnsi="Garamond"/>
          <w:sz w:val="24"/>
          <w:szCs w:val="24"/>
        </w:rPr>
      </w:pPr>
      <w:r>
        <w:rPr>
          <w:rFonts w:ascii="Garamond" w:hAnsi="Garamond"/>
          <w:sz w:val="24"/>
          <w:szCs w:val="24"/>
        </w:rPr>
        <w:t xml:space="preserve">Accounting for uncertainty in load estimates through calculation of a </w:t>
      </w:r>
      <w:r w:rsidR="00480663">
        <w:rPr>
          <w:rFonts w:ascii="Garamond" w:hAnsi="Garamond"/>
          <w:sz w:val="24"/>
          <w:szCs w:val="24"/>
        </w:rPr>
        <w:t>m</w:t>
      </w:r>
      <w:r>
        <w:rPr>
          <w:rFonts w:ascii="Garamond" w:hAnsi="Garamond"/>
          <w:sz w:val="24"/>
          <w:szCs w:val="24"/>
        </w:rPr>
        <w:t xml:space="preserve">argin of </w:t>
      </w:r>
      <w:r w:rsidR="00480663">
        <w:rPr>
          <w:rFonts w:ascii="Garamond" w:hAnsi="Garamond"/>
          <w:sz w:val="24"/>
          <w:szCs w:val="24"/>
        </w:rPr>
        <w:t>s</w:t>
      </w:r>
      <w:r>
        <w:rPr>
          <w:rFonts w:ascii="Garamond" w:hAnsi="Garamond"/>
          <w:sz w:val="24"/>
          <w:szCs w:val="24"/>
        </w:rPr>
        <w:t>afety (MOS).</w:t>
      </w:r>
    </w:p>
    <w:p w14:paraId="0F6CD34C" w14:textId="6A24795B" w:rsidR="00E1040C" w:rsidRDefault="00E10195" w:rsidP="00E1040C">
      <w:pPr>
        <w:pStyle w:val="Heading2"/>
      </w:pPr>
      <w:r>
        <w:t>Additional Supporting Information</w:t>
      </w:r>
    </w:p>
    <w:p w14:paraId="071606F7" w14:textId="72C700EF" w:rsidR="00E45FC1" w:rsidRDefault="00F76C6E" w:rsidP="00E45FC1">
      <w:pPr>
        <w:rPr>
          <w:rFonts w:ascii="Garamond" w:hAnsi="Garamond"/>
          <w:sz w:val="24"/>
          <w:szCs w:val="24"/>
        </w:rPr>
      </w:pPr>
      <w:r>
        <w:rPr>
          <w:rFonts w:ascii="Garamond" w:hAnsi="Garamond"/>
          <w:sz w:val="24"/>
          <w:szCs w:val="24"/>
        </w:rPr>
        <w:t xml:space="preserve">Figure </w:t>
      </w:r>
      <w:r w:rsidR="001670DB">
        <w:rPr>
          <w:rFonts w:ascii="Garamond" w:hAnsi="Garamond"/>
          <w:sz w:val="24"/>
          <w:szCs w:val="24"/>
        </w:rPr>
        <w:t>4</w:t>
      </w:r>
      <w:r w:rsidR="00E45FC1">
        <w:rPr>
          <w:rFonts w:ascii="Garamond" w:hAnsi="Garamond"/>
          <w:sz w:val="24"/>
          <w:szCs w:val="24"/>
        </w:rPr>
        <w:t xml:space="preserve"> shows</w:t>
      </w:r>
      <w:r>
        <w:rPr>
          <w:rFonts w:ascii="Garamond" w:hAnsi="Garamond"/>
          <w:sz w:val="24"/>
          <w:szCs w:val="24"/>
        </w:rPr>
        <w:t xml:space="preserve"> how</w:t>
      </w:r>
      <w:r w:rsidR="00E45FC1">
        <w:rPr>
          <w:rFonts w:ascii="Garamond" w:hAnsi="Garamond"/>
          <w:sz w:val="24"/>
          <w:szCs w:val="24"/>
        </w:rPr>
        <w:t xml:space="preserve"> key steps in the TMDL process </w:t>
      </w:r>
      <w:r>
        <w:rPr>
          <w:rFonts w:ascii="Garamond" w:hAnsi="Garamond"/>
          <w:sz w:val="24"/>
          <w:szCs w:val="24"/>
        </w:rPr>
        <w:t>are</w:t>
      </w:r>
      <w:r w:rsidR="00E45FC1">
        <w:rPr>
          <w:rFonts w:ascii="Garamond" w:hAnsi="Garamond"/>
          <w:sz w:val="24"/>
          <w:szCs w:val="24"/>
        </w:rPr>
        <w:t xml:space="preserve"> </w:t>
      </w:r>
      <w:r>
        <w:rPr>
          <w:rFonts w:ascii="Garamond" w:hAnsi="Garamond"/>
          <w:sz w:val="24"/>
          <w:szCs w:val="24"/>
        </w:rPr>
        <w:t>linked</w:t>
      </w:r>
      <w:r w:rsidR="00E45FC1">
        <w:rPr>
          <w:rFonts w:ascii="Garamond" w:hAnsi="Garamond"/>
          <w:sz w:val="24"/>
          <w:szCs w:val="24"/>
        </w:rPr>
        <w:t xml:space="preserve"> to climate change assessment</w:t>
      </w:r>
      <w:r>
        <w:rPr>
          <w:rFonts w:ascii="Garamond" w:hAnsi="Garamond"/>
          <w:sz w:val="24"/>
          <w:szCs w:val="24"/>
        </w:rPr>
        <w:t xml:space="preserve"> steps.</w:t>
      </w:r>
      <w:r w:rsidR="00E45FC1" w:rsidRPr="0025274A">
        <w:rPr>
          <w:rFonts w:ascii="Garamond" w:hAnsi="Garamond"/>
          <w:sz w:val="24"/>
          <w:szCs w:val="24"/>
        </w:rPr>
        <w:t xml:space="preserve"> </w:t>
      </w:r>
      <w:r>
        <w:rPr>
          <w:rFonts w:ascii="Garamond" w:hAnsi="Garamond"/>
          <w:sz w:val="24"/>
          <w:szCs w:val="24"/>
        </w:rPr>
        <w:t>Some key points of linkage includ</w:t>
      </w:r>
      <w:r w:rsidR="000F38D2">
        <w:rPr>
          <w:rFonts w:ascii="Garamond" w:hAnsi="Garamond"/>
          <w:sz w:val="24"/>
          <w:szCs w:val="24"/>
        </w:rPr>
        <w:t>e</w:t>
      </w:r>
      <w:r w:rsidR="00E45FC1" w:rsidRPr="0025274A">
        <w:rPr>
          <w:rFonts w:ascii="Garamond" w:hAnsi="Garamond"/>
          <w:sz w:val="24"/>
          <w:szCs w:val="24"/>
        </w:rPr>
        <w:t xml:space="preserve"> target identification and source assessment, characterization of pathways, assessment and modeling of loading and load reduction options, assessment of water body and ecological responses (risk assessment), remedial investigations and consideration of implementation options for remedial actions. </w:t>
      </w:r>
      <w:r w:rsidR="00E45FC1">
        <w:rPr>
          <w:rFonts w:ascii="Garamond" w:hAnsi="Garamond"/>
          <w:sz w:val="24"/>
          <w:szCs w:val="24"/>
        </w:rPr>
        <w:t>In addition, determinations of waste</w:t>
      </w:r>
      <w:r w:rsidR="00E10195">
        <w:rPr>
          <w:rFonts w:ascii="Garamond" w:hAnsi="Garamond"/>
          <w:sz w:val="24"/>
          <w:szCs w:val="24"/>
        </w:rPr>
        <w:t xml:space="preserve"> </w:t>
      </w:r>
      <w:r w:rsidR="00E45FC1">
        <w:rPr>
          <w:rFonts w:ascii="Garamond" w:hAnsi="Garamond"/>
          <w:sz w:val="24"/>
          <w:szCs w:val="24"/>
        </w:rPr>
        <w:t>load allocation are, in part, influenced by the responses of affected organisms/communities. Thus, climate change effects on and relative vulnerabilities of the various river resources identified in the Potomac River/Tributaries (e.g., surface &amp; ground water, sediments, benthic invertebrates, fish tissue (bioaccumulation), birds &amp; mammals, human health) are another linkage of interest.</w:t>
      </w:r>
    </w:p>
    <w:p w14:paraId="735E5BF9" w14:textId="50CA0FA5" w:rsidR="00827796" w:rsidRDefault="000F38D2" w:rsidP="000F38D2">
      <w:pPr>
        <w:rPr>
          <w:rFonts w:ascii="Garamond" w:hAnsi="Garamond"/>
          <w:sz w:val="24"/>
          <w:szCs w:val="24"/>
        </w:rPr>
      </w:pPr>
      <w:r>
        <w:rPr>
          <w:rFonts w:ascii="Garamond" w:hAnsi="Garamond"/>
          <w:sz w:val="24"/>
          <w:szCs w:val="24"/>
        </w:rPr>
        <w:t>From the PCB TM</w:t>
      </w:r>
      <w:r w:rsidR="00E10195">
        <w:rPr>
          <w:rFonts w:ascii="Garamond" w:hAnsi="Garamond"/>
          <w:sz w:val="24"/>
          <w:szCs w:val="24"/>
        </w:rPr>
        <w:t>DL document (Hayward and Buchana</w:t>
      </w:r>
      <w:r>
        <w:rPr>
          <w:rFonts w:ascii="Garamond" w:hAnsi="Garamond"/>
          <w:sz w:val="24"/>
          <w:szCs w:val="24"/>
        </w:rPr>
        <w:t>n, 2007): “</w:t>
      </w:r>
      <w:r w:rsidRPr="000F38D2">
        <w:rPr>
          <w:rFonts w:ascii="Garamond" w:hAnsi="Garamond"/>
          <w:sz w:val="24"/>
          <w:szCs w:val="24"/>
        </w:rPr>
        <w:t>It is clear that progress toward achieving the Potomac PCB TMDL</w:t>
      </w:r>
      <w:r>
        <w:rPr>
          <w:rFonts w:ascii="Garamond" w:hAnsi="Garamond"/>
          <w:sz w:val="24"/>
          <w:szCs w:val="24"/>
        </w:rPr>
        <w:t xml:space="preserve"> </w:t>
      </w:r>
      <w:r w:rsidRPr="000F38D2">
        <w:rPr>
          <w:rFonts w:ascii="Garamond" w:hAnsi="Garamond"/>
          <w:sz w:val="24"/>
          <w:szCs w:val="24"/>
        </w:rPr>
        <w:t xml:space="preserve">described in this report will require </w:t>
      </w:r>
      <w:r w:rsidRPr="000F38D2">
        <w:rPr>
          <w:rFonts w:ascii="Garamond" w:hAnsi="Garamond"/>
          <w:i/>
          <w:sz w:val="24"/>
          <w:szCs w:val="24"/>
        </w:rPr>
        <w:t>significant reductions from point, nonpoint, and atmospheric sources of PCBs to the estuary</w:t>
      </w:r>
      <w:r w:rsidRPr="000F38D2">
        <w:rPr>
          <w:rFonts w:ascii="Garamond" w:hAnsi="Garamond"/>
          <w:sz w:val="24"/>
          <w:szCs w:val="24"/>
        </w:rPr>
        <w:t>. The jurisdictions have agreed to proceed with an adaptive</w:t>
      </w:r>
      <w:r>
        <w:rPr>
          <w:rFonts w:ascii="Garamond" w:hAnsi="Garamond"/>
          <w:sz w:val="24"/>
          <w:szCs w:val="24"/>
        </w:rPr>
        <w:t xml:space="preserve"> </w:t>
      </w:r>
      <w:r w:rsidRPr="000F38D2">
        <w:rPr>
          <w:rFonts w:ascii="Garamond" w:hAnsi="Garamond"/>
          <w:sz w:val="24"/>
          <w:szCs w:val="24"/>
        </w:rPr>
        <w:t>implementation approach using additional data collected concurrently with activities to reduce</w:t>
      </w:r>
      <w:r>
        <w:rPr>
          <w:rFonts w:ascii="Garamond" w:hAnsi="Garamond"/>
          <w:sz w:val="24"/>
          <w:szCs w:val="24"/>
        </w:rPr>
        <w:t xml:space="preserve"> </w:t>
      </w:r>
      <w:r w:rsidRPr="000F38D2">
        <w:rPr>
          <w:rFonts w:ascii="Garamond" w:hAnsi="Garamond"/>
          <w:sz w:val="24"/>
          <w:szCs w:val="24"/>
        </w:rPr>
        <w:t xml:space="preserve">PCB loadings. New data and information will not necessarily re-open the TMDL, but the </w:t>
      </w:r>
      <w:r w:rsidRPr="000F38D2">
        <w:rPr>
          <w:rFonts w:ascii="Garamond" w:hAnsi="Garamond"/>
          <w:i/>
          <w:sz w:val="24"/>
          <w:szCs w:val="24"/>
        </w:rPr>
        <w:t>TMDL and allocation scenarios can be changed if warranted by new data and information</w:t>
      </w:r>
      <w:r w:rsidRPr="000F38D2">
        <w:rPr>
          <w:rFonts w:ascii="Garamond" w:hAnsi="Garamond"/>
          <w:sz w:val="24"/>
          <w:szCs w:val="24"/>
        </w:rPr>
        <w:t>.</w:t>
      </w:r>
      <w:r>
        <w:rPr>
          <w:rFonts w:ascii="Garamond" w:hAnsi="Garamond"/>
          <w:sz w:val="24"/>
          <w:szCs w:val="24"/>
        </w:rPr>
        <w:t>”</w:t>
      </w:r>
    </w:p>
    <w:p w14:paraId="7336DE32" w14:textId="77777777" w:rsidR="00AA337C" w:rsidRDefault="00244D27" w:rsidP="00845DFC">
      <w:r>
        <w:rPr>
          <w:noProof/>
        </w:rPr>
        <w:lastRenderedPageBreak/>
        <w:drawing>
          <wp:inline distT="0" distB="0" distL="0" distR="0" wp14:anchorId="3BE5D6FA" wp14:editId="7B750A4F">
            <wp:extent cx="4856098" cy="4667250"/>
            <wp:effectExtent l="0" t="0" r="1905" b="0"/>
            <wp:docPr id="3" name="Picture 3" descr="Process Roadmap_TMDL and CC lin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 Roadmap_TMDL and CC link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469" cy="4675296"/>
                    </a:xfrm>
                    <a:prstGeom prst="rect">
                      <a:avLst/>
                    </a:prstGeom>
                    <a:noFill/>
                    <a:ln>
                      <a:noFill/>
                    </a:ln>
                    <a:effectLst/>
                  </pic:spPr>
                </pic:pic>
              </a:graphicData>
            </a:graphic>
          </wp:inline>
        </w:drawing>
      </w:r>
    </w:p>
    <w:p w14:paraId="1AF70E57" w14:textId="06F42DB2" w:rsidR="00244D27" w:rsidRPr="00605A9D" w:rsidRDefault="001D2174" w:rsidP="00244D27">
      <w:pPr>
        <w:rPr>
          <w:rFonts w:ascii="Garamond" w:hAnsi="Garamond"/>
          <w:szCs w:val="24"/>
        </w:rPr>
      </w:pPr>
      <w:r>
        <w:rPr>
          <w:rStyle w:val="IntenseReference"/>
          <w:rFonts w:ascii="Garamond" w:hAnsi="Garamond"/>
        </w:rPr>
        <w:t xml:space="preserve">Figure </w:t>
      </w:r>
      <w:r w:rsidR="001670DB">
        <w:rPr>
          <w:rStyle w:val="IntenseReference"/>
          <w:rFonts w:ascii="Garamond" w:hAnsi="Garamond"/>
        </w:rPr>
        <w:t>4</w:t>
      </w:r>
      <w:r w:rsidR="00BB7901" w:rsidRPr="00605A9D">
        <w:rPr>
          <w:rFonts w:ascii="Garamond" w:hAnsi="Garamond"/>
          <w:szCs w:val="24"/>
        </w:rPr>
        <w:t>.</w:t>
      </w:r>
      <w:r w:rsidR="00244D27" w:rsidRPr="00605A9D">
        <w:rPr>
          <w:rFonts w:ascii="Garamond" w:hAnsi="Garamond"/>
          <w:szCs w:val="24"/>
        </w:rPr>
        <w:t xml:space="preserve"> </w:t>
      </w:r>
      <w:r w:rsidR="000F172E">
        <w:rPr>
          <w:rFonts w:ascii="Garamond" w:hAnsi="Garamond"/>
          <w:szCs w:val="24"/>
        </w:rPr>
        <w:t>L</w:t>
      </w:r>
      <w:r w:rsidR="00244D27" w:rsidRPr="00605A9D">
        <w:rPr>
          <w:rFonts w:ascii="Garamond" w:hAnsi="Garamond"/>
          <w:szCs w:val="24"/>
        </w:rPr>
        <w:t>inkages</w:t>
      </w:r>
      <w:r w:rsidR="00F76C6E">
        <w:rPr>
          <w:rFonts w:ascii="Garamond" w:hAnsi="Garamond"/>
          <w:szCs w:val="24"/>
        </w:rPr>
        <w:t xml:space="preserve"> between</w:t>
      </w:r>
      <w:r w:rsidR="00244D27" w:rsidRPr="00605A9D">
        <w:rPr>
          <w:rFonts w:ascii="Garamond" w:hAnsi="Garamond"/>
          <w:szCs w:val="24"/>
        </w:rPr>
        <w:t xml:space="preserve"> TMDL and climate change assessment </w:t>
      </w:r>
      <w:r w:rsidR="00F76C6E">
        <w:rPr>
          <w:rFonts w:ascii="Garamond" w:hAnsi="Garamond"/>
          <w:szCs w:val="24"/>
        </w:rPr>
        <w:t>processes (from Tetra Tech, 2015</w:t>
      </w:r>
      <w:r w:rsidR="00244D27" w:rsidRPr="00605A9D">
        <w:rPr>
          <w:rFonts w:ascii="Garamond" w:hAnsi="Garamond"/>
          <w:szCs w:val="24"/>
        </w:rPr>
        <w:t>).</w:t>
      </w:r>
    </w:p>
    <w:p w14:paraId="12EDE1EC" w14:textId="77777777" w:rsidR="00AA337C" w:rsidRPr="00BB7901" w:rsidRDefault="00AA337C" w:rsidP="00845DFC">
      <w:pPr>
        <w:rPr>
          <w:rFonts w:ascii="Garamond" w:hAnsi="Garamond"/>
          <w:sz w:val="24"/>
          <w:szCs w:val="24"/>
        </w:rPr>
      </w:pPr>
    </w:p>
    <w:p w14:paraId="4B00C4B2" w14:textId="77777777" w:rsidR="00AA337C" w:rsidRDefault="00AA337C" w:rsidP="00845DFC">
      <w:r>
        <w:br w:type="page"/>
      </w:r>
    </w:p>
    <w:p w14:paraId="40B5EC70" w14:textId="4803F38E" w:rsidR="001A1F50" w:rsidRDefault="00B96FDE" w:rsidP="0068263E">
      <w:pPr>
        <w:pStyle w:val="Heading1"/>
      </w:pPr>
      <w:r>
        <w:lastRenderedPageBreak/>
        <w:t>Example Management Activity</w:t>
      </w:r>
      <w:r w:rsidR="00AA337C" w:rsidRPr="00BA18A1">
        <w:t xml:space="preserve"> 3:</w:t>
      </w:r>
      <w:r w:rsidR="00B86C4B" w:rsidRPr="00BA18A1">
        <w:t xml:space="preserve"> </w:t>
      </w:r>
      <w:r w:rsidR="006679B1">
        <w:t>Vulnerability of Virginia Waste Sites to SLR</w:t>
      </w:r>
    </w:p>
    <w:p w14:paraId="050FCB29" w14:textId="483F8124" w:rsidR="00BA18A1" w:rsidRPr="006679B1" w:rsidRDefault="006679B1" w:rsidP="0068263E">
      <w:pPr>
        <w:pStyle w:val="Heading1"/>
        <w:rPr>
          <w:sz w:val="28"/>
        </w:rPr>
      </w:pPr>
      <w:r w:rsidRPr="006679B1">
        <w:rPr>
          <w:sz w:val="28"/>
        </w:rPr>
        <w:t xml:space="preserve">Supporting Example: </w:t>
      </w:r>
      <w:r w:rsidR="00B86C4B" w:rsidRPr="006679B1">
        <w:rPr>
          <w:sz w:val="28"/>
        </w:rPr>
        <w:t>Hampton Roads/Norfolk Area Waste Site Facilities, Vulnerability to SLR</w:t>
      </w:r>
      <w:r w:rsidR="00AA337C" w:rsidRPr="006679B1">
        <w:rPr>
          <w:sz w:val="28"/>
        </w:rPr>
        <w:t>.</w:t>
      </w:r>
    </w:p>
    <w:p w14:paraId="29CB6080" w14:textId="7C5AA5BA" w:rsidR="00605A9D" w:rsidRDefault="00E10195" w:rsidP="00605A9D">
      <w:pPr>
        <w:pStyle w:val="Heading2"/>
      </w:pPr>
      <w:r>
        <w:t>Example Activity</w:t>
      </w:r>
    </w:p>
    <w:p w14:paraId="24787C4C" w14:textId="73964473" w:rsidR="003A2BB3" w:rsidRDefault="00BA18A1" w:rsidP="00BA18A1">
      <w:pPr>
        <w:rPr>
          <w:rFonts w:ascii="Garamond" w:hAnsi="Garamond"/>
          <w:sz w:val="24"/>
          <w:szCs w:val="24"/>
        </w:rPr>
      </w:pPr>
      <w:r w:rsidRPr="00BA18A1">
        <w:rPr>
          <w:rFonts w:ascii="Garamond" w:hAnsi="Garamond"/>
          <w:sz w:val="24"/>
          <w:szCs w:val="24"/>
        </w:rPr>
        <w:t>Overarching questions regarding the locations and nature of key sources of contaminants to the Chesapeake Bay help drive the formulation of approaches</w:t>
      </w:r>
      <w:r w:rsidR="007C1EB2">
        <w:rPr>
          <w:rFonts w:ascii="Garamond" w:hAnsi="Garamond"/>
          <w:sz w:val="24"/>
          <w:szCs w:val="24"/>
        </w:rPr>
        <w:t xml:space="preserve"> (or strategies)</w:t>
      </w:r>
      <w:r w:rsidRPr="00BA18A1">
        <w:rPr>
          <w:rFonts w:ascii="Garamond" w:hAnsi="Garamond"/>
          <w:sz w:val="24"/>
          <w:szCs w:val="24"/>
        </w:rPr>
        <w:t xml:space="preserve"> and objectives for remediation.</w:t>
      </w:r>
      <w:r w:rsidR="007C1EB2">
        <w:rPr>
          <w:rFonts w:ascii="Garamond" w:hAnsi="Garamond"/>
          <w:sz w:val="24"/>
          <w:szCs w:val="24"/>
        </w:rPr>
        <w:t xml:space="preserve"> </w:t>
      </w:r>
      <w:r w:rsidR="00BA062C">
        <w:rPr>
          <w:rFonts w:ascii="Garamond" w:hAnsi="Garamond"/>
          <w:sz w:val="24"/>
          <w:szCs w:val="24"/>
        </w:rPr>
        <w:t>O</w:t>
      </w:r>
      <w:r w:rsidR="00BA062C" w:rsidRPr="00BA18A1">
        <w:rPr>
          <w:rFonts w:ascii="Garamond" w:hAnsi="Garamond"/>
          <w:sz w:val="24"/>
          <w:szCs w:val="24"/>
        </w:rPr>
        <w:t>ngoing and future climate changes, in</w:t>
      </w:r>
      <w:r w:rsidR="004462F4">
        <w:rPr>
          <w:rFonts w:ascii="Garamond" w:hAnsi="Garamond"/>
          <w:sz w:val="24"/>
          <w:szCs w:val="24"/>
        </w:rPr>
        <w:t>cluding sea level rise (SLR),</w:t>
      </w:r>
      <w:r w:rsidR="00BA062C" w:rsidRPr="00BA18A1">
        <w:rPr>
          <w:rFonts w:ascii="Garamond" w:hAnsi="Garamond"/>
          <w:sz w:val="24"/>
          <w:szCs w:val="24"/>
        </w:rPr>
        <w:t xml:space="preserve"> storm surge</w:t>
      </w:r>
      <w:r w:rsidR="00BA062C">
        <w:rPr>
          <w:rFonts w:ascii="Garamond" w:hAnsi="Garamond"/>
          <w:sz w:val="24"/>
          <w:szCs w:val="24"/>
        </w:rPr>
        <w:t>, and associated frequencies of flooding</w:t>
      </w:r>
      <w:r w:rsidR="00067763">
        <w:rPr>
          <w:rFonts w:ascii="Garamond" w:hAnsi="Garamond"/>
          <w:sz w:val="24"/>
          <w:szCs w:val="24"/>
        </w:rPr>
        <w:t>,</w:t>
      </w:r>
      <w:r w:rsidR="00BA062C">
        <w:rPr>
          <w:rFonts w:ascii="Garamond" w:hAnsi="Garamond"/>
          <w:sz w:val="24"/>
          <w:szCs w:val="24"/>
        </w:rPr>
        <w:t xml:space="preserve"> </w:t>
      </w:r>
      <w:r w:rsidR="0031729A">
        <w:rPr>
          <w:rFonts w:ascii="Garamond" w:hAnsi="Garamond"/>
          <w:sz w:val="24"/>
          <w:szCs w:val="24"/>
        </w:rPr>
        <w:t>can impact</w:t>
      </w:r>
      <w:r w:rsidR="004A6873">
        <w:rPr>
          <w:rFonts w:ascii="Garamond" w:hAnsi="Garamond"/>
          <w:sz w:val="24"/>
          <w:szCs w:val="24"/>
        </w:rPr>
        <w:t xml:space="preserve"> land-based industrial or waste facilities</w:t>
      </w:r>
      <w:r w:rsidR="008B7C1B">
        <w:rPr>
          <w:rFonts w:ascii="Garamond" w:hAnsi="Garamond"/>
          <w:sz w:val="24"/>
          <w:szCs w:val="24"/>
        </w:rPr>
        <w:t xml:space="preserve"> and</w:t>
      </w:r>
      <w:r w:rsidR="004A6873">
        <w:rPr>
          <w:rFonts w:ascii="Garamond" w:hAnsi="Garamond"/>
          <w:sz w:val="24"/>
          <w:szCs w:val="24"/>
        </w:rPr>
        <w:t xml:space="preserve"> contaminated </w:t>
      </w:r>
      <w:r w:rsidR="008B7C1B">
        <w:rPr>
          <w:rFonts w:ascii="Garamond" w:hAnsi="Garamond"/>
          <w:sz w:val="24"/>
          <w:szCs w:val="24"/>
        </w:rPr>
        <w:t xml:space="preserve">sediment </w:t>
      </w:r>
      <w:r w:rsidR="004A6873">
        <w:rPr>
          <w:rFonts w:ascii="Garamond" w:hAnsi="Garamond"/>
          <w:sz w:val="24"/>
          <w:szCs w:val="24"/>
        </w:rPr>
        <w:t xml:space="preserve">sites, potentially increasing </w:t>
      </w:r>
      <w:r w:rsidR="00067763">
        <w:rPr>
          <w:rFonts w:ascii="Garamond" w:hAnsi="Garamond"/>
          <w:sz w:val="24"/>
          <w:szCs w:val="24"/>
        </w:rPr>
        <w:t>releases</w:t>
      </w:r>
      <w:r w:rsidR="004A6873">
        <w:rPr>
          <w:rFonts w:ascii="Garamond" w:hAnsi="Garamond"/>
          <w:sz w:val="24"/>
          <w:szCs w:val="24"/>
        </w:rPr>
        <w:t xml:space="preserve"> from already identified sources, or </w:t>
      </w:r>
      <w:r w:rsidR="005E243B">
        <w:rPr>
          <w:rFonts w:ascii="Garamond" w:hAnsi="Garamond"/>
          <w:sz w:val="24"/>
          <w:szCs w:val="24"/>
        </w:rPr>
        <w:t>placing new sources at risk</w:t>
      </w:r>
      <w:r w:rsidR="00067763">
        <w:rPr>
          <w:rFonts w:ascii="Garamond" w:hAnsi="Garamond"/>
          <w:sz w:val="24"/>
          <w:szCs w:val="24"/>
        </w:rPr>
        <w:t xml:space="preserve"> of contaminant release</w:t>
      </w:r>
      <w:r w:rsidR="005E243B">
        <w:rPr>
          <w:rFonts w:ascii="Garamond" w:hAnsi="Garamond"/>
          <w:sz w:val="24"/>
          <w:szCs w:val="24"/>
        </w:rPr>
        <w:t>.</w:t>
      </w:r>
      <w:r w:rsidR="004A6873">
        <w:rPr>
          <w:rFonts w:ascii="Garamond" w:hAnsi="Garamond"/>
          <w:sz w:val="24"/>
          <w:szCs w:val="24"/>
        </w:rPr>
        <w:t xml:space="preserve"> </w:t>
      </w:r>
      <w:r w:rsidR="008B7C1B">
        <w:rPr>
          <w:rFonts w:ascii="Garamond" w:hAnsi="Garamond"/>
          <w:sz w:val="24"/>
          <w:szCs w:val="24"/>
        </w:rPr>
        <w:t>This represents</w:t>
      </w:r>
      <w:r w:rsidR="005E243B">
        <w:rPr>
          <w:rFonts w:ascii="Garamond" w:hAnsi="Garamond"/>
          <w:sz w:val="24"/>
          <w:szCs w:val="24"/>
        </w:rPr>
        <w:t xml:space="preserve"> a large spatial scale (e.g., Bay-wide) of </w:t>
      </w:r>
      <w:r w:rsidR="00B227AC">
        <w:rPr>
          <w:rFonts w:ascii="Garamond" w:hAnsi="Garamond"/>
          <w:sz w:val="24"/>
          <w:szCs w:val="24"/>
        </w:rPr>
        <w:t>impact</w:t>
      </w:r>
      <w:r w:rsidR="008B7C1B">
        <w:rPr>
          <w:rFonts w:ascii="Garamond" w:hAnsi="Garamond"/>
          <w:sz w:val="24"/>
          <w:szCs w:val="24"/>
        </w:rPr>
        <w:t>, with the potential of</w:t>
      </w:r>
      <w:r w:rsidR="004A5E29">
        <w:rPr>
          <w:rFonts w:ascii="Garamond" w:hAnsi="Garamond"/>
          <w:sz w:val="24"/>
          <w:szCs w:val="24"/>
        </w:rPr>
        <w:t xml:space="preserve"> </w:t>
      </w:r>
      <w:r w:rsidR="00BA062C">
        <w:rPr>
          <w:rFonts w:ascii="Garamond" w:hAnsi="Garamond"/>
          <w:sz w:val="24"/>
          <w:szCs w:val="24"/>
        </w:rPr>
        <w:t>alter</w:t>
      </w:r>
      <w:r w:rsidR="008B7C1B">
        <w:rPr>
          <w:rFonts w:ascii="Garamond" w:hAnsi="Garamond"/>
          <w:sz w:val="24"/>
          <w:szCs w:val="24"/>
        </w:rPr>
        <w:t>ing</w:t>
      </w:r>
      <w:r w:rsidR="00BA062C">
        <w:rPr>
          <w:rFonts w:ascii="Garamond" w:hAnsi="Garamond"/>
          <w:sz w:val="24"/>
          <w:szCs w:val="24"/>
        </w:rPr>
        <w:t xml:space="preserve"> </w:t>
      </w:r>
      <w:r w:rsidR="00BA062C" w:rsidRPr="00BA18A1">
        <w:rPr>
          <w:rFonts w:ascii="Garamond" w:hAnsi="Garamond"/>
          <w:sz w:val="24"/>
          <w:szCs w:val="24"/>
        </w:rPr>
        <w:t>assumptions about the processes and pathways that contribute loadings to the Bay</w:t>
      </w:r>
      <w:r w:rsidR="00BA062C">
        <w:rPr>
          <w:rFonts w:ascii="Garamond" w:hAnsi="Garamond"/>
          <w:sz w:val="24"/>
          <w:szCs w:val="24"/>
        </w:rPr>
        <w:t xml:space="preserve">, and </w:t>
      </w:r>
      <w:r w:rsidR="0056092E">
        <w:rPr>
          <w:rFonts w:ascii="Garamond" w:hAnsi="Garamond"/>
          <w:sz w:val="24"/>
          <w:szCs w:val="24"/>
        </w:rPr>
        <w:t>thus</w:t>
      </w:r>
      <w:r w:rsidR="00BA062C">
        <w:rPr>
          <w:rFonts w:ascii="Garamond" w:hAnsi="Garamond"/>
          <w:sz w:val="24"/>
          <w:szCs w:val="24"/>
        </w:rPr>
        <w:t xml:space="preserve"> </w:t>
      </w:r>
      <w:r w:rsidR="0056092E">
        <w:rPr>
          <w:rFonts w:ascii="Garamond" w:hAnsi="Garamond"/>
          <w:sz w:val="24"/>
          <w:szCs w:val="24"/>
        </w:rPr>
        <w:t>affec</w:t>
      </w:r>
      <w:r w:rsidR="008B7C1B">
        <w:rPr>
          <w:rFonts w:ascii="Garamond" w:hAnsi="Garamond"/>
          <w:sz w:val="24"/>
          <w:szCs w:val="24"/>
        </w:rPr>
        <w:t>ting</w:t>
      </w:r>
      <w:r w:rsidR="004A5E29">
        <w:rPr>
          <w:rFonts w:ascii="Garamond" w:hAnsi="Garamond"/>
          <w:sz w:val="24"/>
          <w:szCs w:val="24"/>
        </w:rPr>
        <w:t xml:space="preserve"> strategy/approach-level decisions</w:t>
      </w:r>
      <w:r w:rsidRPr="00BA18A1">
        <w:rPr>
          <w:rFonts w:ascii="Garamond" w:hAnsi="Garamond"/>
          <w:sz w:val="24"/>
          <w:szCs w:val="24"/>
        </w:rPr>
        <w:t xml:space="preserve">. </w:t>
      </w:r>
    </w:p>
    <w:p w14:paraId="56F46DBF" w14:textId="7D6FB81E" w:rsidR="004E525E" w:rsidRDefault="003A2BB3" w:rsidP="00BA18A1">
      <w:pPr>
        <w:rPr>
          <w:rFonts w:ascii="Garamond" w:hAnsi="Garamond"/>
          <w:sz w:val="24"/>
          <w:szCs w:val="24"/>
        </w:rPr>
      </w:pPr>
      <w:r>
        <w:rPr>
          <w:rFonts w:ascii="Garamond" w:hAnsi="Garamond"/>
          <w:sz w:val="24"/>
          <w:szCs w:val="24"/>
        </w:rPr>
        <w:t xml:space="preserve">The example being considered is to </w:t>
      </w:r>
      <w:r w:rsidR="008B7C1B">
        <w:rPr>
          <w:rFonts w:ascii="Garamond" w:hAnsi="Garamond"/>
          <w:sz w:val="24"/>
          <w:szCs w:val="24"/>
        </w:rPr>
        <w:t xml:space="preserve">examine </w:t>
      </w:r>
      <w:r w:rsidR="00AA7555">
        <w:rPr>
          <w:rFonts w:ascii="Garamond" w:hAnsi="Garamond"/>
          <w:sz w:val="24"/>
          <w:szCs w:val="24"/>
        </w:rPr>
        <w:t>the</w:t>
      </w:r>
      <w:r w:rsidR="008B7C1B">
        <w:rPr>
          <w:rFonts w:ascii="Garamond" w:hAnsi="Garamond"/>
          <w:sz w:val="24"/>
          <w:szCs w:val="24"/>
        </w:rPr>
        <w:t xml:space="preserve"> future </w:t>
      </w:r>
      <w:r w:rsidR="00AA7555">
        <w:rPr>
          <w:rFonts w:ascii="Garamond" w:hAnsi="Garamond"/>
          <w:sz w:val="24"/>
          <w:szCs w:val="24"/>
        </w:rPr>
        <w:t>risk of inundation of</w:t>
      </w:r>
      <w:r w:rsidR="008B7C1B">
        <w:rPr>
          <w:rFonts w:ascii="Garamond" w:hAnsi="Garamond"/>
          <w:sz w:val="24"/>
          <w:szCs w:val="24"/>
        </w:rPr>
        <w:t xml:space="preserve"> low-lying lands in the Hampton Roads/Norfolk, VA area of the lower Bay</w:t>
      </w:r>
      <w:r w:rsidR="00AA7555">
        <w:rPr>
          <w:rFonts w:ascii="Garamond" w:hAnsi="Garamond"/>
          <w:sz w:val="24"/>
          <w:szCs w:val="24"/>
        </w:rPr>
        <w:t xml:space="preserve"> due to SLR and storm surge,</w:t>
      </w:r>
      <w:r w:rsidR="008B7C1B">
        <w:rPr>
          <w:rFonts w:ascii="Garamond" w:hAnsi="Garamond"/>
          <w:sz w:val="24"/>
          <w:szCs w:val="24"/>
        </w:rPr>
        <w:t xml:space="preserve"> and t</w:t>
      </w:r>
      <w:r w:rsidR="00AA7555">
        <w:rPr>
          <w:rFonts w:ascii="Garamond" w:hAnsi="Garamond"/>
          <w:sz w:val="24"/>
          <w:szCs w:val="24"/>
        </w:rPr>
        <w:t>he associated</w:t>
      </w:r>
      <w:r w:rsidR="00495C3A">
        <w:rPr>
          <w:rFonts w:ascii="Garamond" w:hAnsi="Garamond"/>
          <w:sz w:val="24"/>
          <w:szCs w:val="24"/>
        </w:rPr>
        <w:t xml:space="preserve"> threats to various types of waste facilities</w:t>
      </w:r>
      <w:r w:rsidR="00AA7555">
        <w:rPr>
          <w:rFonts w:ascii="Garamond" w:hAnsi="Garamond"/>
          <w:sz w:val="24"/>
          <w:szCs w:val="24"/>
        </w:rPr>
        <w:t xml:space="preserve">. </w:t>
      </w:r>
      <w:r w:rsidR="00BA18A1" w:rsidRPr="00BA18A1">
        <w:rPr>
          <w:rFonts w:ascii="Garamond" w:hAnsi="Garamond"/>
          <w:sz w:val="24"/>
          <w:szCs w:val="24"/>
        </w:rPr>
        <w:t xml:space="preserve">This </w:t>
      </w:r>
      <w:r w:rsidR="00495C3A">
        <w:rPr>
          <w:rFonts w:ascii="Garamond" w:hAnsi="Garamond"/>
          <w:sz w:val="24"/>
          <w:szCs w:val="24"/>
        </w:rPr>
        <w:t>will be done using</w:t>
      </w:r>
      <w:r w:rsidR="00BA18A1" w:rsidRPr="00BA18A1">
        <w:rPr>
          <w:rFonts w:ascii="Garamond" w:hAnsi="Garamond"/>
          <w:sz w:val="24"/>
          <w:szCs w:val="24"/>
        </w:rPr>
        <w:t xml:space="preserve"> </w:t>
      </w:r>
      <w:r w:rsidR="004E525E">
        <w:rPr>
          <w:rFonts w:ascii="Garamond" w:hAnsi="Garamond"/>
          <w:sz w:val="24"/>
          <w:szCs w:val="24"/>
        </w:rPr>
        <w:t>information from the Climate Central Surging Seas Risk Finder on the</w:t>
      </w:r>
      <w:r w:rsidR="00104B2B">
        <w:rPr>
          <w:rFonts w:ascii="Garamond" w:hAnsi="Garamond"/>
          <w:sz w:val="24"/>
          <w:szCs w:val="24"/>
        </w:rPr>
        <w:t xml:space="preserve"> numbers of various types of waste-associated facilities in Virginia under future risk of inundation with SLR</w:t>
      </w:r>
      <w:r w:rsidR="004E525E">
        <w:rPr>
          <w:rFonts w:ascii="Garamond" w:hAnsi="Garamond"/>
          <w:sz w:val="24"/>
          <w:szCs w:val="24"/>
        </w:rPr>
        <w:t xml:space="preserve">. </w:t>
      </w:r>
      <w:r w:rsidR="00495C3A">
        <w:rPr>
          <w:rFonts w:ascii="Garamond" w:hAnsi="Garamond"/>
          <w:sz w:val="24"/>
          <w:szCs w:val="24"/>
        </w:rPr>
        <w:t>In particular</w:t>
      </w:r>
      <w:r w:rsidR="004E525E">
        <w:rPr>
          <w:rFonts w:ascii="Garamond" w:hAnsi="Garamond"/>
          <w:sz w:val="24"/>
          <w:szCs w:val="24"/>
        </w:rPr>
        <w:t xml:space="preserve"> </w:t>
      </w:r>
      <w:r w:rsidR="00F41D72">
        <w:rPr>
          <w:rFonts w:ascii="Garamond" w:hAnsi="Garamond"/>
          <w:sz w:val="24"/>
          <w:szCs w:val="24"/>
        </w:rPr>
        <w:t>we will focus on</w:t>
      </w:r>
      <w:r w:rsidR="001E45D3">
        <w:rPr>
          <w:rFonts w:ascii="Garamond" w:hAnsi="Garamond"/>
          <w:sz w:val="24"/>
          <w:szCs w:val="24"/>
        </w:rPr>
        <w:t xml:space="preserve"> EPA-listed waste sites </w:t>
      </w:r>
      <w:r w:rsidR="00802CA2">
        <w:rPr>
          <w:rFonts w:ascii="Garamond" w:hAnsi="Garamond"/>
          <w:sz w:val="24"/>
          <w:szCs w:val="24"/>
        </w:rPr>
        <w:t xml:space="preserve">(as well as some other </w:t>
      </w:r>
      <w:r w:rsidR="001E45D3">
        <w:rPr>
          <w:rFonts w:ascii="Garamond" w:hAnsi="Garamond"/>
          <w:sz w:val="24"/>
          <w:szCs w:val="24"/>
        </w:rPr>
        <w:t>facilities, structures, roads, etc.</w:t>
      </w:r>
      <w:r w:rsidR="00802CA2">
        <w:rPr>
          <w:rFonts w:ascii="Garamond" w:hAnsi="Garamond"/>
          <w:sz w:val="24"/>
          <w:szCs w:val="24"/>
        </w:rPr>
        <w:t>)</w:t>
      </w:r>
      <w:r w:rsidR="001E45D3">
        <w:rPr>
          <w:rFonts w:ascii="Garamond" w:hAnsi="Garamond"/>
          <w:sz w:val="24"/>
          <w:szCs w:val="24"/>
        </w:rPr>
        <w:t xml:space="preserve"> that would be inundated at 5-feet above local high tide as a starting point for considering the </w:t>
      </w:r>
      <w:r w:rsidR="00493863">
        <w:rPr>
          <w:rFonts w:ascii="Garamond" w:hAnsi="Garamond"/>
          <w:sz w:val="24"/>
          <w:szCs w:val="24"/>
        </w:rPr>
        <w:t>potential</w:t>
      </w:r>
      <w:r w:rsidR="001E45D3">
        <w:rPr>
          <w:rFonts w:ascii="Garamond" w:hAnsi="Garamond"/>
          <w:sz w:val="24"/>
          <w:szCs w:val="24"/>
        </w:rPr>
        <w:t xml:space="preserve"> additional exposure risks</w:t>
      </w:r>
      <w:r w:rsidR="00802CA2">
        <w:rPr>
          <w:rFonts w:ascii="Garamond" w:hAnsi="Garamond"/>
          <w:sz w:val="24"/>
          <w:szCs w:val="24"/>
        </w:rPr>
        <w:t>.</w:t>
      </w:r>
      <w:r w:rsidR="001E45D3">
        <w:rPr>
          <w:rFonts w:ascii="Garamond" w:hAnsi="Garamond"/>
          <w:sz w:val="24"/>
          <w:szCs w:val="24"/>
        </w:rPr>
        <w:t xml:space="preserve"> </w:t>
      </w:r>
      <w:r w:rsidR="00493863">
        <w:rPr>
          <w:rFonts w:ascii="Garamond" w:hAnsi="Garamond"/>
          <w:sz w:val="24"/>
          <w:szCs w:val="24"/>
        </w:rPr>
        <w:t>T</w:t>
      </w:r>
      <w:r w:rsidR="00802CA2">
        <w:rPr>
          <w:rFonts w:ascii="Garamond" w:hAnsi="Garamond"/>
          <w:sz w:val="24"/>
          <w:szCs w:val="24"/>
        </w:rPr>
        <w:t>his example</w:t>
      </w:r>
      <w:r w:rsidR="001E45D3" w:rsidRPr="00BA18A1">
        <w:rPr>
          <w:rFonts w:ascii="Garamond" w:hAnsi="Garamond"/>
          <w:sz w:val="24"/>
          <w:szCs w:val="24"/>
        </w:rPr>
        <w:t xml:space="preserve"> provide</w:t>
      </w:r>
      <w:r w:rsidR="00802CA2">
        <w:rPr>
          <w:rFonts w:ascii="Garamond" w:hAnsi="Garamond"/>
          <w:sz w:val="24"/>
          <w:szCs w:val="24"/>
        </w:rPr>
        <w:t>s</w:t>
      </w:r>
      <w:r w:rsidR="001E45D3" w:rsidRPr="00BA18A1">
        <w:rPr>
          <w:rFonts w:ascii="Garamond" w:hAnsi="Garamond"/>
          <w:sz w:val="24"/>
          <w:szCs w:val="24"/>
        </w:rPr>
        <w:t xml:space="preserve"> an avenue for </w:t>
      </w:r>
      <w:r w:rsidR="00493863">
        <w:rPr>
          <w:rFonts w:ascii="Garamond" w:hAnsi="Garamond"/>
          <w:sz w:val="24"/>
          <w:szCs w:val="24"/>
        </w:rPr>
        <w:t>considering the implications of the</w:t>
      </w:r>
      <w:r w:rsidR="001E45D3" w:rsidRPr="00BA18A1">
        <w:rPr>
          <w:rFonts w:ascii="Garamond" w:hAnsi="Garamond"/>
          <w:sz w:val="24"/>
          <w:szCs w:val="24"/>
        </w:rPr>
        <w:t xml:space="preserve"> vulnerabilities of these facilities</w:t>
      </w:r>
      <w:r w:rsidR="001B3AA9">
        <w:rPr>
          <w:rFonts w:ascii="Garamond" w:hAnsi="Garamond"/>
          <w:sz w:val="24"/>
          <w:szCs w:val="24"/>
        </w:rPr>
        <w:t>,</w:t>
      </w:r>
      <w:r w:rsidR="001E45D3" w:rsidRPr="00BA18A1">
        <w:rPr>
          <w:rFonts w:ascii="Garamond" w:hAnsi="Garamond"/>
          <w:sz w:val="24"/>
          <w:szCs w:val="24"/>
        </w:rPr>
        <w:t xml:space="preserve"> and </w:t>
      </w:r>
      <w:bookmarkStart w:id="0" w:name="_GoBack"/>
      <w:r w:rsidR="00AA7555">
        <w:rPr>
          <w:rFonts w:ascii="Garamond" w:hAnsi="Garamond"/>
          <w:sz w:val="24"/>
          <w:szCs w:val="24"/>
        </w:rPr>
        <w:t xml:space="preserve">how such information could affect strategies </w:t>
      </w:r>
      <w:bookmarkEnd w:id="0"/>
      <w:r w:rsidR="00AA7555">
        <w:rPr>
          <w:rFonts w:ascii="Garamond" w:hAnsi="Garamond"/>
          <w:sz w:val="24"/>
          <w:szCs w:val="24"/>
        </w:rPr>
        <w:t>for meeting work group goals of reducing contaminant loading and effects in the Bay.</w:t>
      </w:r>
    </w:p>
    <w:p w14:paraId="49F1A90E" w14:textId="4170EBDF" w:rsidR="00BA18A1" w:rsidRDefault="001E45D3" w:rsidP="00BA18A1">
      <w:pPr>
        <w:rPr>
          <w:rFonts w:ascii="Garamond" w:hAnsi="Garamond"/>
          <w:sz w:val="24"/>
          <w:szCs w:val="24"/>
        </w:rPr>
      </w:pPr>
      <w:r>
        <w:rPr>
          <w:rFonts w:ascii="Garamond" w:hAnsi="Garamond"/>
          <w:sz w:val="24"/>
          <w:szCs w:val="24"/>
        </w:rPr>
        <w:t xml:space="preserve">As an additional example, we present outputs from </w:t>
      </w:r>
      <w:r w:rsidR="00BA18A1" w:rsidRPr="00BA18A1">
        <w:rPr>
          <w:rFonts w:ascii="Garamond" w:hAnsi="Garamond"/>
          <w:sz w:val="24"/>
          <w:szCs w:val="24"/>
        </w:rPr>
        <w:t>an EPA effort (</w:t>
      </w:r>
      <w:r>
        <w:rPr>
          <w:rFonts w:ascii="Garamond" w:hAnsi="Garamond"/>
          <w:sz w:val="24"/>
          <w:szCs w:val="24"/>
        </w:rPr>
        <w:t xml:space="preserve">by the </w:t>
      </w:r>
      <w:r w:rsidR="00BA18A1" w:rsidRPr="00BA18A1">
        <w:rPr>
          <w:rFonts w:ascii="Garamond" w:hAnsi="Garamond"/>
          <w:sz w:val="24"/>
          <w:szCs w:val="24"/>
        </w:rPr>
        <w:t>Exposure Analysis and Risk Characterization Group, EPA Office of Research and Development) that identified and mapped waste facilities in the Norfolk, VA/Hampton Roads area of the southern Chesapeake Bay</w:t>
      </w:r>
      <w:r w:rsidR="00BA18A1">
        <w:rPr>
          <w:rFonts w:ascii="Garamond" w:hAnsi="Garamond"/>
          <w:sz w:val="24"/>
          <w:szCs w:val="24"/>
        </w:rPr>
        <w:t>, as well as a</w:t>
      </w:r>
      <w:r w:rsidR="00BA18A1" w:rsidRPr="00BA18A1">
        <w:rPr>
          <w:rFonts w:ascii="Garamond" w:hAnsi="Garamond"/>
          <w:sz w:val="24"/>
          <w:szCs w:val="24"/>
        </w:rPr>
        <w:t>ssociated mapping of hurricane storm surge projections</w:t>
      </w:r>
      <w:r w:rsidR="00BA18A1">
        <w:rPr>
          <w:rFonts w:ascii="Garamond" w:hAnsi="Garamond"/>
          <w:sz w:val="24"/>
          <w:szCs w:val="24"/>
        </w:rPr>
        <w:t>.</w:t>
      </w:r>
      <w:r>
        <w:rPr>
          <w:rFonts w:ascii="Garamond" w:hAnsi="Garamond"/>
          <w:sz w:val="24"/>
          <w:szCs w:val="24"/>
        </w:rPr>
        <w:t xml:space="preserve"> The original objective for use of these results was to consider on a regional, rather than a single-site basis,</w:t>
      </w:r>
      <w:r w:rsidRPr="001E45D3">
        <w:rPr>
          <w:rFonts w:ascii="Garamond" w:hAnsi="Garamond"/>
          <w:sz w:val="24"/>
          <w:szCs w:val="24"/>
        </w:rPr>
        <w:t xml:space="preserve"> how </w:t>
      </w:r>
      <w:r>
        <w:rPr>
          <w:rFonts w:ascii="Garamond" w:hAnsi="Garamond"/>
          <w:sz w:val="24"/>
          <w:szCs w:val="24"/>
        </w:rPr>
        <w:t>to</w:t>
      </w:r>
      <w:r w:rsidRPr="001E45D3">
        <w:rPr>
          <w:rFonts w:ascii="Garamond" w:hAnsi="Garamond"/>
          <w:sz w:val="24"/>
          <w:szCs w:val="24"/>
        </w:rPr>
        <w:t xml:space="preserve"> </w:t>
      </w:r>
      <w:r>
        <w:rPr>
          <w:rFonts w:ascii="Garamond" w:hAnsi="Garamond"/>
          <w:sz w:val="24"/>
          <w:szCs w:val="24"/>
        </w:rPr>
        <w:t>sustain the functionality of</w:t>
      </w:r>
      <w:r w:rsidR="00493863">
        <w:rPr>
          <w:rFonts w:ascii="Garamond" w:hAnsi="Garamond"/>
          <w:sz w:val="24"/>
          <w:szCs w:val="24"/>
        </w:rPr>
        <w:t xml:space="preserve"> </w:t>
      </w:r>
      <w:r>
        <w:rPr>
          <w:rFonts w:ascii="Garamond" w:hAnsi="Garamond"/>
          <w:sz w:val="24"/>
          <w:szCs w:val="24"/>
        </w:rPr>
        <w:t xml:space="preserve">municipal </w:t>
      </w:r>
      <w:r w:rsidRPr="001E45D3">
        <w:rPr>
          <w:rFonts w:ascii="Garamond" w:hAnsi="Garamond"/>
          <w:sz w:val="24"/>
          <w:szCs w:val="24"/>
        </w:rPr>
        <w:t xml:space="preserve">waste management across a system of sites that supports a large population, </w:t>
      </w:r>
      <w:r>
        <w:rPr>
          <w:rFonts w:ascii="Garamond" w:hAnsi="Garamond"/>
          <w:sz w:val="24"/>
          <w:szCs w:val="24"/>
        </w:rPr>
        <w:t>under the</w:t>
      </w:r>
      <w:r w:rsidRPr="001E45D3">
        <w:rPr>
          <w:rFonts w:ascii="Garamond" w:hAnsi="Garamond"/>
          <w:sz w:val="24"/>
          <w:szCs w:val="24"/>
        </w:rPr>
        <w:t xml:space="preserve"> risk of a storm that could take out </w:t>
      </w:r>
      <w:r>
        <w:rPr>
          <w:rFonts w:ascii="Garamond" w:hAnsi="Garamond"/>
          <w:sz w:val="24"/>
          <w:szCs w:val="24"/>
        </w:rPr>
        <w:t>a few to several of the contributing</w:t>
      </w:r>
      <w:r w:rsidRPr="001E45D3">
        <w:rPr>
          <w:rFonts w:ascii="Garamond" w:hAnsi="Garamond"/>
          <w:sz w:val="24"/>
          <w:szCs w:val="24"/>
        </w:rPr>
        <w:t xml:space="preserve"> units </w:t>
      </w:r>
      <w:r>
        <w:rPr>
          <w:rFonts w:ascii="Garamond" w:hAnsi="Garamond"/>
          <w:sz w:val="24"/>
          <w:szCs w:val="24"/>
        </w:rPr>
        <w:t>within</w:t>
      </w:r>
      <w:r w:rsidRPr="001E45D3">
        <w:rPr>
          <w:rFonts w:ascii="Garamond" w:hAnsi="Garamond"/>
          <w:sz w:val="24"/>
          <w:szCs w:val="24"/>
        </w:rPr>
        <w:t xml:space="preserve"> the</w:t>
      </w:r>
      <w:r>
        <w:rPr>
          <w:rFonts w:ascii="Garamond" w:hAnsi="Garamond"/>
          <w:sz w:val="24"/>
          <w:szCs w:val="24"/>
        </w:rPr>
        <w:t xml:space="preserve"> regional</w:t>
      </w:r>
      <w:r w:rsidRPr="001E45D3">
        <w:rPr>
          <w:rFonts w:ascii="Garamond" w:hAnsi="Garamond"/>
          <w:sz w:val="24"/>
          <w:szCs w:val="24"/>
        </w:rPr>
        <w:t xml:space="preserve"> waste management</w:t>
      </w:r>
      <w:r>
        <w:rPr>
          <w:rFonts w:ascii="Garamond" w:hAnsi="Garamond"/>
          <w:sz w:val="24"/>
          <w:szCs w:val="24"/>
        </w:rPr>
        <w:t xml:space="preserve"> system.</w:t>
      </w:r>
      <w:r w:rsidR="004112EB">
        <w:rPr>
          <w:rFonts w:ascii="Garamond" w:hAnsi="Garamond"/>
          <w:sz w:val="24"/>
          <w:szCs w:val="24"/>
        </w:rPr>
        <w:t xml:space="preserve"> </w:t>
      </w:r>
      <w:r>
        <w:rPr>
          <w:rFonts w:ascii="Garamond" w:hAnsi="Garamond"/>
          <w:sz w:val="24"/>
          <w:szCs w:val="24"/>
        </w:rPr>
        <w:t xml:space="preserve">This example provides an additional picture of how climate changes in SLR and storm surge can </w:t>
      </w:r>
      <w:r w:rsidR="00802CA2">
        <w:rPr>
          <w:rFonts w:ascii="Garamond" w:hAnsi="Garamond"/>
          <w:sz w:val="24"/>
          <w:szCs w:val="24"/>
        </w:rPr>
        <w:t>spatial pattern and number of waste facilities that may be at risk in the future.</w:t>
      </w:r>
    </w:p>
    <w:p w14:paraId="4EC77E13" w14:textId="2566F0C3" w:rsidR="00605A9D" w:rsidRDefault="0086572E" w:rsidP="00605A9D">
      <w:pPr>
        <w:pStyle w:val="Heading2"/>
      </w:pPr>
      <w:r>
        <w:t>Additional Supporting Information</w:t>
      </w:r>
    </w:p>
    <w:p w14:paraId="123AD5EF" w14:textId="77777777" w:rsidR="00E1396E" w:rsidRDefault="00595019" w:rsidP="009E780D">
      <w:pPr>
        <w:pStyle w:val="FigureCaption"/>
        <w:spacing w:before="120"/>
        <w:rPr>
          <w:rFonts w:ascii="Garamond" w:hAnsi="Garamond"/>
          <w:i w:val="0"/>
          <w:iCs w:val="0"/>
          <w:color w:val="auto"/>
          <w:sz w:val="24"/>
          <w:szCs w:val="24"/>
        </w:rPr>
      </w:pPr>
      <w:r>
        <w:rPr>
          <w:rFonts w:ascii="Garamond" w:hAnsi="Garamond"/>
          <w:i w:val="0"/>
          <w:iCs w:val="0"/>
          <w:color w:val="auto"/>
          <w:sz w:val="24"/>
          <w:szCs w:val="24"/>
        </w:rPr>
        <w:t xml:space="preserve">Figure 5 maps areas of risk by category (low/medium/high) </w:t>
      </w:r>
      <w:r w:rsidRPr="00595019">
        <w:rPr>
          <w:rFonts w:ascii="Garamond" w:hAnsi="Garamond"/>
          <w:i w:val="0"/>
          <w:iCs w:val="0"/>
          <w:color w:val="auto"/>
          <w:sz w:val="24"/>
          <w:szCs w:val="24"/>
        </w:rPr>
        <w:t xml:space="preserve">for inundation in the Hampton Roads/Norfolk area of Virginia based on SLR that would inundate 5 </w:t>
      </w:r>
      <w:proofErr w:type="spellStart"/>
      <w:r w:rsidRPr="00595019">
        <w:rPr>
          <w:rFonts w:ascii="Garamond" w:hAnsi="Garamond"/>
          <w:i w:val="0"/>
          <w:iCs w:val="0"/>
          <w:color w:val="auto"/>
          <w:sz w:val="24"/>
          <w:szCs w:val="24"/>
        </w:rPr>
        <w:t>ft</w:t>
      </w:r>
      <w:proofErr w:type="spellEnd"/>
      <w:r w:rsidRPr="00595019">
        <w:rPr>
          <w:rFonts w:ascii="Garamond" w:hAnsi="Garamond"/>
          <w:i w:val="0"/>
          <w:iCs w:val="0"/>
          <w:color w:val="auto"/>
          <w:sz w:val="24"/>
          <w:szCs w:val="24"/>
        </w:rPr>
        <w:t xml:space="preserve"> above mean high water</w:t>
      </w:r>
      <w:r w:rsidR="00E1396E">
        <w:rPr>
          <w:rFonts w:ascii="Garamond" w:hAnsi="Garamond"/>
          <w:i w:val="0"/>
          <w:iCs w:val="0"/>
          <w:color w:val="auto"/>
          <w:sz w:val="24"/>
          <w:szCs w:val="24"/>
        </w:rPr>
        <w:t xml:space="preserve"> (from the </w:t>
      </w:r>
      <w:r w:rsidR="00E1396E" w:rsidRPr="00D15EBA">
        <w:rPr>
          <w:rFonts w:ascii="Garamond" w:hAnsi="Garamond"/>
          <w:i w:val="0"/>
          <w:iCs w:val="0"/>
          <w:color w:val="auto"/>
          <w:sz w:val="24"/>
          <w:szCs w:val="24"/>
        </w:rPr>
        <w:t>Climate Central Surging</w:t>
      </w:r>
      <w:r w:rsidR="00E1396E">
        <w:rPr>
          <w:rFonts w:ascii="Garamond" w:hAnsi="Garamond"/>
          <w:i w:val="0"/>
          <w:iCs w:val="0"/>
          <w:color w:val="auto"/>
          <w:sz w:val="24"/>
          <w:szCs w:val="24"/>
        </w:rPr>
        <w:t xml:space="preserve"> Seas Risk Finder (</w:t>
      </w:r>
      <w:hyperlink r:id="rId12" w:history="1">
        <w:r w:rsidR="00E1396E" w:rsidRPr="004D5A6D">
          <w:rPr>
            <w:rStyle w:val="Hyperlink"/>
          </w:rPr>
          <w:t>http://riskfinder.climatecentral.org/state/virginia.us?comparisonType=county&amp;forecastType=NOAA2017_int_p50&amp;impact=EPA&amp;impactGroup=Contamination+Risks&amp;level=5&amp;unit=ft</w:t>
        </w:r>
      </w:hyperlink>
      <w:r w:rsidR="00E1396E">
        <w:t xml:space="preserve"> </w:t>
      </w:r>
      <w:r w:rsidR="00E1396E">
        <w:rPr>
          <w:rFonts w:ascii="Garamond" w:hAnsi="Garamond"/>
          <w:i w:val="0"/>
          <w:iCs w:val="0"/>
          <w:color w:val="auto"/>
          <w:sz w:val="24"/>
          <w:szCs w:val="24"/>
        </w:rPr>
        <w:t>).</w:t>
      </w:r>
      <w:r>
        <w:rPr>
          <w:rFonts w:ascii="Garamond" w:hAnsi="Garamond"/>
          <w:i w:val="0"/>
          <w:iCs w:val="0"/>
          <w:color w:val="auto"/>
          <w:sz w:val="24"/>
          <w:szCs w:val="24"/>
        </w:rPr>
        <w:t xml:space="preserve"> </w:t>
      </w:r>
    </w:p>
    <w:p w14:paraId="5A8BC397" w14:textId="38FAB46D" w:rsidR="00E1396E" w:rsidRDefault="00E1396E" w:rsidP="009E780D">
      <w:pPr>
        <w:pStyle w:val="FigureCaption"/>
        <w:spacing w:before="120"/>
        <w:rPr>
          <w:rFonts w:ascii="Garamond" w:hAnsi="Garamond"/>
          <w:i w:val="0"/>
          <w:iCs w:val="0"/>
          <w:color w:val="auto"/>
          <w:sz w:val="24"/>
          <w:szCs w:val="24"/>
        </w:rPr>
      </w:pPr>
      <w:r w:rsidRPr="004E525E">
        <w:rPr>
          <w:noProof/>
        </w:rPr>
        <w:lastRenderedPageBreak/>
        <w:drawing>
          <wp:inline distT="0" distB="0" distL="0" distR="0" wp14:anchorId="04E87ADD" wp14:editId="4C0A50C6">
            <wp:extent cx="5689600" cy="4267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9600" cy="4267200"/>
                    </a:xfrm>
                    <a:prstGeom prst="rect">
                      <a:avLst/>
                    </a:prstGeom>
                  </pic:spPr>
                </pic:pic>
              </a:graphicData>
            </a:graphic>
          </wp:inline>
        </w:drawing>
      </w:r>
    </w:p>
    <w:p w14:paraId="2A524336" w14:textId="77777777" w:rsidR="00E1396E" w:rsidRPr="004D76B0" w:rsidRDefault="00E1396E" w:rsidP="00E1396E">
      <w:pPr>
        <w:pStyle w:val="FigureCaption"/>
        <w:spacing w:before="120"/>
        <w:rPr>
          <w:rFonts w:ascii="Garamond" w:hAnsi="Garamond"/>
          <w:i w:val="0"/>
          <w:iCs w:val="0"/>
          <w:color w:val="auto"/>
          <w:sz w:val="22"/>
          <w:szCs w:val="24"/>
        </w:rPr>
      </w:pPr>
      <w:r w:rsidRPr="004D76B0">
        <w:rPr>
          <w:rStyle w:val="IntenseReference"/>
          <w:rFonts w:ascii="Garamond" w:hAnsi="Garamond"/>
          <w:i w:val="0"/>
          <w:sz w:val="22"/>
          <w:szCs w:val="22"/>
        </w:rPr>
        <w:t xml:space="preserve">Figure </w:t>
      </w:r>
      <w:r>
        <w:rPr>
          <w:rStyle w:val="IntenseReference"/>
          <w:rFonts w:ascii="Garamond" w:hAnsi="Garamond"/>
          <w:i w:val="0"/>
          <w:sz w:val="22"/>
          <w:szCs w:val="22"/>
        </w:rPr>
        <w:t>5</w:t>
      </w:r>
      <w:r w:rsidRPr="004D76B0">
        <w:rPr>
          <w:rFonts w:ascii="Garamond" w:hAnsi="Garamond"/>
          <w:i w:val="0"/>
          <w:iCs w:val="0"/>
          <w:color w:val="auto"/>
          <w:sz w:val="22"/>
          <w:szCs w:val="24"/>
        </w:rPr>
        <w:t>. .</w:t>
      </w:r>
      <w:r>
        <w:rPr>
          <w:rFonts w:ascii="Garamond" w:hAnsi="Garamond"/>
          <w:i w:val="0"/>
          <w:iCs w:val="0"/>
          <w:color w:val="auto"/>
          <w:sz w:val="22"/>
          <w:szCs w:val="24"/>
        </w:rPr>
        <w:t xml:space="preserve">Map of relative risk levels for inundation in the Hampton Roads/Norfolk area of Virginia based on SLR that would inundate 5 </w:t>
      </w:r>
      <w:proofErr w:type="spellStart"/>
      <w:r>
        <w:rPr>
          <w:rFonts w:ascii="Garamond" w:hAnsi="Garamond"/>
          <w:i w:val="0"/>
          <w:iCs w:val="0"/>
          <w:color w:val="auto"/>
          <w:sz w:val="22"/>
          <w:szCs w:val="24"/>
        </w:rPr>
        <w:t>ft</w:t>
      </w:r>
      <w:proofErr w:type="spellEnd"/>
      <w:r>
        <w:rPr>
          <w:rFonts w:ascii="Garamond" w:hAnsi="Garamond"/>
          <w:i w:val="0"/>
          <w:iCs w:val="0"/>
          <w:color w:val="auto"/>
          <w:sz w:val="22"/>
          <w:szCs w:val="24"/>
        </w:rPr>
        <w:t xml:space="preserve"> above mean high water (</w:t>
      </w:r>
      <w:r w:rsidRPr="008A1E59">
        <w:rPr>
          <w:rFonts w:ascii="Garamond" w:hAnsi="Garamond"/>
          <w:i w:val="0"/>
          <w:iCs w:val="0"/>
          <w:color w:val="auto"/>
          <w:sz w:val="22"/>
          <w:szCs w:val="24"/>
        </w:rPr>
        <w:t>from the Surging Seas Risk Finder</w:t>
      </w:r>
      <w:r>
        <w:rPr>
          <w:rFonts w:ascii="Garamond" w:hAnsi="Garamond"/>
          <w:i w:val="0"/>
          <w:iCs w:val="0"/>
          <w:color w:val="auto"/>
          <w:sz w:val="22"/>
          <w:szCs w:val="24"/>
        </w:rPr>
        <w:t>).</w:t>
      </w:r>
    </w:p>
    <w:p w14:paraId="30E93979" w14:textId="77777777" w:rsidR="00E1396E" w:rsidRDefault="00E1396E" w:rsidP="00E1396E">
      <w:pPr>
        <w:tabs>
          <w:tab w:val="left" w:pos="2415"/>
        </w:tabs>
        <w:rPr>
          <w:rFonts w:ascii="Garamond" w:hAnsi="Garamond"/>
          <w:sz w:val="24"/>
          <w:szCs w:val="24"/>
        </w:rPr>
      </w:pPr>
    </w:p>
    <w:p w14:paraId="3F2A68F8" w14:textId="762DEA8B" w:rsidR="009E780D" w:rsidRDefault="009E780D" w:rsidP="009E780D">
      <w:pPr>
        <w:pStyle w:val="FigureCaption"/>
        <w:spacing w:before="120"/>
        <w:rPr>
          <w:rFonts w:ascii="Garamond" w:hAnsi="Garamond"/>
          <w:i w:val="0"/>
          <w:iCs w:val="0"/>
          <w:color w:val="auto"/>
          <w:sz w:val="24"/>
          <w:szCs w:val="24"/>
        </w:rPr>
      </w:pPr>
      <w:r>
        <w:rPr>
          <w:rFonts w:ascii="Garamond" w:hAnsi="Garamond"/>
          <w:i w:val="0"/>
          <w:iCs w:val="0"/>
          <w:color w:val="auto"/>
          <w:sz w:val="24"/>
          <w:szCs w:val="24"/>
        </w:rPr>
        <w:t xml:space="preserve">This website and associated report (Strauss et al. 2014) </w:t>
      </w:r>
      <w:r w:rsidR="00E1396E">
        <w:rPr>
          <w:rFonts w:ascii="Garamond" w:hAnsi="Garamond"/>
          <w:i w:val="0"/>
          <w:iCs w:val="0"/>
          <w:color w:val="auto"/>
          <w:sz w:val="24"/>
          <w:szCs w:val="24"/>
        </w:rPr>
        <w:t xml:space="preserve">also </w:t>
      </w:r>
      <w:r>
        <w:rPr>
          <w:rFonts w:ascii="Garamond" w:hAnsi="Garamond"/>
          <w:i w:val="0"/>
          <w:iCs w:val="0"/>
          <w:color w:val="auto"/>
          <w:sz w:val="24"/>
          <w:szCs w:val="24"/>
        </w:rPr>
        <w:t>gives results on</w:t>
      </w:r>
      <w:r w:rsidR="00E1396E">
        <w:rPr>
          <w:rFonts w:ascii="Garamond" w:hAnsi="Garamond"/>
          <w:i w:val="0"/>
          <w:iCs w:val="0"/>
          <w:color w:val="auto"/>
          <w:sz w:val="24"/>
          <w:szCs w:val="24"/>
        </w:rPr>
        <w:t xml:space="preserve"> number of</w:t>
      </w:r>
      <w:r>
        <w:rPr>
          <w:rFonts w:ascii="Garamond" w:hAnsi="Garamond"/>
          <w:i w:val="0"/>
          <w:iCs w:val="0"/>
          <w:color w:val="auto"/>
          <w:sz w:val="24"/>
          <w:szCs w:val="24"/>
        </w:rPr>
        <w:t xml:space="preserve"> facilities, structures, roads, etc. that would be inundated at 5-feet above local high tide (as well as for other increments of SLR</w:t>
      </w:r>
      <w:r w:rsidR="0079179F">
        <w:rPr>
          <w:rFonts w:ascii="Garamond" w:hAnsi="Garamond"/>
          <w:i w:val="0"/>
          <w:iCs w:val="0"/>
          <w:color w:val="auto"/>
          <w:sz w:val="24"/>
          <w:szCs w:val="24"/>
        </w:rPr>
        <w:t>)</w:t>
      </w:r>
      <w:r>
        <w:rPr>
          <w:rFonts w:ascii="Garamond" w:hAnsi="Garamond"/>
          <w:i w:val="0"/>
          <w:iCs w:val="0"/>
          <w:color w:val="auto"/>
          <w:sz w:val="24"/>
          <w:szCs w:val="24"/>
        </w:rPr>
        <w:t xml:space="preserve">. Some examples of infrastructure in Virginia </w:t>
      </w:r>
      <w:r w:rsidRPr="00FD1D2B">
        <w:rPr>
          <w:rFonts w:ascii="Garamond" w:hAnsi="Garamond"/>
          <w:i w:val="0"/>
          <w:iCs w:val="0"/>
          <w:color w:val="auto"/>
          <w:sz w:val="24"/>
          <w:szCs w:val="24"/>
        </w:rPr>
        <w:t>on land less than 5 feet above the local high tide line</w:t>
      </w:r>
      <w:r>
        <w:rPr>
          <w:rFonts w:ascii="Garamond" w:hAnsi="Garamond"/>
          <w:i w:val="0"/>
          <w:iCs w:val="0"/>
          <w:color w:val="auto"/>
          <w:sz w:val="24"/>
          <w:szCs w:val="24"/>
        </w:rPr>
        <w:t xml:space="preserve"> include:</w:t>
      </w:r>
    </w:p>
    <w:p w14:paraId="5909BE12" w14:textId="77777777" w:rsidR="009E780D" w:rsidRPr="00F0326A" w:rsidRDefault="009E780D" w:rsidP="00F0326A">
      <w:pPr>
        <w:pStyle w:val="ListParagraph"/>
        <w:numPr>
          <w:ilvl w:val="0"/>
          <w:numId w:val="3"/>
        </w:numPr>
        <w:rPr>
          <w:rFonts w:ascii="Garamond" w:hAnsi="Garamond"/>
          <w:sz w:val="24"/>
          <w:szCs w:val="24"/>
        </w:rPr>
      </w:pPr>
      <w:r w:rsidRPr="00FD1D2B">
        <w:rPr>
          <w:rFonts w:ascii="Garamond" w:hAnsi="Garamond"/>
          <w:sz w:val="24"/>
          <w:szCs w:val="24"/>
        </w:rPr>
        <w:t>54,000 homes</w:t>
      </w:r>
      <w:r>
        <w:rPr>
          <w:rFonts w:ascii="Garamond" w:hAnsi="Garamond"/>
          <w:sz w:val="24"/>
          <w:szCs w:val="24"/>
        </w:rPr>
        <w:t xml:space="preserve"> (</w:t>
      </w:r>
      <w:r w:rsidRPr="003A3C65">
        <w:rPr>
          <w:rFonts w:ascii="Garamond" w:hAnsi="Garamond"/>
          <w:sz w:val="24"/>
          <w:szCs w:val="24"/>
        </w:rPr>
        <w:t>$17.4 billion in property value</w:t>
      </w:r>
      <w:r>
        <w:rPr>
          <w:rFonts w:ascii="Garamond" w:hAnsi="Garamond"/>
          <w:sz w:val="24"/>
          <w:szCs w:val="24"/>
        </w:rPr>
        <w:t>, 107,000 residents, 1/3 in Virginia Beach).</w:t>
      </w:r>
    </w:p>
    <w:p w14:paraId="65CD996B" w14:textId="77777777" w:rsidR="009E780D" w:rsidRPr="00F0326A" w:rsidRDefault="009E780D" w:rsidP="00F0326A">
      <w:pPr>
        <w:pStyle w:val="ListParagraph"/>
        <w:numPr>
          <w:ilvl w:val="0"/>
          <w:numId w:val="3"/>
        </w:numPr>
        <w:rPr>
          <w:rFonts w:ascii="Garamond" w:hAnsi="Garamond"/>
          <w:sz w:val="24"/>
          <w:szCs w:val="24"/>
        </w:rPr>
      </w:pPr>
      <w:r>
        <w:rPr>
          <w:rFonts w:ascii="Garamond" w:hAnsi="Garamond"/>
          <w:sz w:val="24"/>
          <w:szCs w:val="24"/>
        </w:rPr>
        <w:t>1 power plant.</w:t>
      </w:r>
    </w:p>
    <w:p w14:paraId="1B8398C2" w14:textId="77777777" w:rsidR="009E780D" w:rsidRPr="00F0326A" w:rsidRDefault="009E780D" w:rsidP="00F0326A">
      <w:pPr>
        <w:pStyle w:val="ListParagraph"/>
        <w:numPr>
          <w:ilvl w:val="0"/>
          <w:numId w:val="3"/>
        </w:numPr>
        <w:rPr>
          <w:rFonts w:ascii="Garamond" w:hAnsi="Garamond"/>
          <w:sz w:val="24"/>
          <w:szCs w:val="24"/>
        </w:rPr>
      </w:pPr>
      <w:r w:rsidRPr="003A3C65">
        <w:rPr>
          <w:rFonts w:ascii="Garamond" w:hAnsi="Garamond"/>
          <w:sz w:val="24"/>
          <w:szCs w:val="24"/>
        </w:rPr>
        <w:t>148 EPA</w:t>
      </w:r>
      <w:r>
        <w:rPr>
          <w:rFonts w:ascii="Garamond" w:hAnsi="Garamond"/>
          <w:sz w:val="24"/>
          <w:szCs w:val="24"/>
        </w:rPr>
        <w:t>-</w:t>
      </w:r>
      <w:r w:rsidRPr="003A3C65">
        <w:rPr>
          <w:rFonts w:ascii="Garamond" w:hAnsi="Garamond"/>
          <w:sz w:val="24"/>
          <w:szCs w:val="24"/>
        </w:rPr>
        <w:t>listed</w:t>
      </w:r>
      <w:r>
        <w:rPr>
          <w:rFonts w:ascii="Garamond" w:hAnsi="Garamond"/>
          <w:sz w:val="24"/>
          <w:szCs w:val="24"/>
        </w:rPr>
        <w:t xml:space="preserve"> </w:t>
      </w:r>
      <w:r w:rsidRPr="003A3C65">
        <w:rPr>
          <w:rFonts w:ascii="Garamond" w:hAnsi="Garamond"/>
          <w:sz w:val="24"/>
          <w:szCs w:val="24"/>
        </w:rPr>
        <w:t>sites, screened to include mostly hazardous waste sites, facilities with significant hazardous</w:t>
      </w:r>
      <w:r>
        <w:rPr>
          <w:rFonts w:ascii="Garamond" w:hAnsi="Garamond"/>
          <w:sz w:val="24"/>
          <w:szCs w:val="24"/>
        </w:rPr>
        <w:t xml:space="preserve"> </w:t>
      </w:r>
      <w:r w:rsidRPr="003A3C65">
        <w:rPr>
          <w:rFonts w:ascii="Garamond" w:hAnsi="Garamond"/>
          <w:sz w:val="24"/>
          <w:szCs w:val="24"/>
        </w:rPr>
        <w:t>materials, and wastewater generators</w:t>
      </w:r>
      <w:r>
        <w:rPr>
          <w:rFonts w:ascii="Garamond" w:hAnsi="Garamond"/>
          <w:sz w:val="24"/>
          <w:szCs w:val="24"/>
        </w:rPr>
        <w:t>.</w:t>
      </w:r>
    </w:p>
    <w:p w14:paraId="2287F9C2" w14:textId="77777777" w:rsidR="009E780D" w:rsidRPr="00F0326A" w:rsidRDefault="009E780D" w:rsidP="00F0326A">
      <w:pPr>
        <w:pStyle w:val="ListParagraph"/>
        <w:numPr>
          <w:ilvl w:val="0"/>
          <w:numId w:val="3"/>
        </w:numPr>
        <w:rPr>
          <w:rFonts w:ascii="Garamond" w:hAnsi="Garamond"/>
          <w:sz w:val="24"/>
          <w:szCs w:val="24"/>
        </w:rPr>
      </w:pPr>
      <w:r w:rsidRPr="00583A7E">
        <w:rPr>
          <w:rFonts w:ascii="Garamond" w:hAnsi="Garamond"/>
          <w:sz w:val="24"/>
          <w:szCs w:val="24"/>
        </w:rPr>
        <w:t>32% of Norfolk Naval Shipyard</w:t>
      </w:r>
      <w:r>
        <w:rPr>
          <w:rFonts w:ascii="Garamond" w:hAnsi="Garamond"/>
          <w:sz w:val="24"/>
          <w:szCs w:val="24"/>
        </w:rPr>
        <w:t>,</w:t>
      </w:r>
      <w:r w:rsidRPr="00583A7E">
        <w:rPr>
          <w:rFonts w:ascii="Garamond" w:hAnsi="Garamond"/>
          <w:sz w:val="24"/>
          <w:szCs w:val="24"/>
        </w:rPr>
        <w:t xml:space="preserve"> with one quarter of that area apparently protected or isolated</w:t>
      </w:r>
      <w:r>
        <w:rPr>
          <w:rFonts w:ascii="Garamond" w:hAnsi="Garamond"/>
          <w:sz w:val="24"/>
          <w:szCs w:val="24"/>
        </w:rPr>
        <w:t>.</w:t>
      </w:r>
    </w:p>
    <w:p w14:paraId="5585528E" w14:textId="77777777" w:rsidR="009E780D" w:rsidRPr="00F0326A" w:rsidRDefault="009E780D" w:rsidP="00F0326A">
      <w:pPr>
        <w:pStyle w:val="ListParagraph"/>
        <w:numPr>
          <w:ilvl w:val="0"/>
          <w:numId w:val="3"/>
        </w:numPr>
        <w:rPr>
          <w:rFonts w:ascii="Garamond" w:hAnsi="Garamond"/>
          <w:sz w:val="24"/>
          <w:szCs w:val="24"/>
        </w:rPr>
      </w:pPr>
      <w:r w:rsidRPr="00583A7E">
        <w:rPr>
          <w:rFonts w:ascii="Garamond" w:hAnsi="Garamond"/>
          <w:sz w:val="24"/>
          <w:szCs w:val="24"/>
        </w:rPr>
        <w:t>13</w:t>
      </w:r>
      <w:r>
        <w:rPr>
          <w:rFonts w:ascii="Garamond" w:hAnsi="Garamond"/>
          <w:sz w:val="24"/>
          <w:szCs w:val="24"/>
        </w:rPr>
        <w:t>%</w:t>
      </w:r>
      <w:r w:rsidRPr="00583A7E">
        <w:rPr>
          <w:rFonts w:ascii="Garamond" w:hAnsi="Garamond"/>
          <w:sz w:val="24"/>
          <w:szCs w:val="24"/>
        </w:rPr>
        <w:t xml:space="preserve"> of Naval </w:t>
      </w:r>
      <w:r>
        <w:rPr>
          <w:rFonts w:ascii="Garamond" w:hAnsi="Garamond"/>
          <w:sz w:val="24"/>
          <w:szCs w:val="24"/>
        </w:rPr>
        <w:t>Station Norfolk</w:t>
      </w:r>
      <w:r w:rsidRPr="00583A7E">
        <w:rPr>
          <w:rFonts w:ascii="Garamond" w:hAnsi="Garamond"/>
          <w:sz w:val="24"/>
          <w:szCs w:val="24"/>
        </w:rPr>
        <w:t>.</w:t>
      </w:r>
    </w:p>
    <w:p w14:paraId="76BCEB92" w14:textId="6719426D" w:rsidR="009E780D" w:rsidRDefault="0053702B" w:rsidP="009E780D">
      <w:pPr>
        <w:pStyle w:val="FigureCaption"/>
        <w:spacing w:before="120"/>
        <w:rPr>
          <w:rFonts w:ascii="Garamond" w:hAnsi="Garamond"/>
          <w:i w:val="0"/>
          <w:iCs w:val="0"/>
          <w:color w:val="auto"/>
          <w:sz w:val="24"/>
          <w:szCs w:val="24"/>
        </w:rPr>
      </w:pPr>
      <w:r>
        <w:rPr>
          <w:rFonts w:ascii="Garamond" w:hAnsi="Garamond"/>
          <w:i w:val="0"/>
          <w:iCs w:val="0"/>
          <w:color w:val="auto"/>
          <w:sz w:val="24"/>
          <w:szCs w:val="24"/>
        </w:rPr>
        <w:t>For context, i</w:t>
      </w:r>
      <w:r w:rsidR="009E780D">
        <w:rPr>
          <w:rFonts w:ascii="Garamond" w:hAnsi="Garamond"/>
          <w:i w:val="0"/>
          <w:iCs w:val="0"/>
          <w:color w:val="auto"/>
          <w:sz w:val="24"/>
          <w:szCs w:val="24"/>
        </w:rPr>
        <w:t xml:space="preserve">n </w:t>
      </w:r>
      <w:r w:rsidR="009E780D" w:rsidRPr="00583A7E">
        <w:rPr>
          <w:rFonts w:ascii="Garamond" w:hAnsi="Garamond"/>
          <w:i w:val="0"/>
          <w:iCs w:val="0"/>
          <w:color w:val="auto"/>
          <w:sz w:val="24"/>
          <w:szCs w:val="24"/>
        </w:rPr>
        <w:t>Delmarva as a whole on unprotected land below 5 feet</w:t>
      </w:r>
      <w:r>
        <w:rPr>
          <w:rFonts w:ascii="Garamond" w:hAnsi="Garamond"/>
          <w:i w:val="0"/>
          <w:iCs w:val="0"/>
          <w:color w:val="auto"/>
          <w:sz w:val="24"/>
          <w:szCs w:val="24"/>
        </w:rPr>
        <w:t xml:space="preserve"> there are</w:t>
      </w:r>
      <w:r w:rsidR="009E780D">
        <w:rPr>
          <w:rFonts w:ascii="Garamond" w:hAnsi="Garamond"/>
          <w:i w:val="0"/>
          <w:iCs w:val="0"/>
          <w:color w:val="auto"/>
          <w:sz w:val="24"/>
          <w:szCs w:val="24"/>
        </w:rPr>
        <w:t>:</w:t>
      </w:r>
    </w:p>
    <w:p w14:paraId="48A64603" w14:textId="77777777" w:rsidR="009E780D" w:rsidRPr="00F0326A" w:rsidRDefault="009E780D" w:rsidP="00F0326A">
      <w:pPr>
        <w:pStyle w:val="ListParagraph"/>
        <w:numPr>
          <w:ilvl w:val="0"/>
          <w:numId w:val="3"/>
        </w:numPr>
        <w:rPr>
          <w:rFonts w:ascii="Garamond" w:hAnsi="Garamond"/>
          <w:sz w:val="24"/>
          <w:szCs w:val="24"/>
        </w:rPr>
      </w:pPr>
      <w:r w:rsidRPr="00583A7E">
        <w:rPr>
          <w:rFonts w:ascii="Garamond" w:hAnsi="Garamond"/>
          <w:sz w:val="24"/>
          <w:szCs w:val="24"/>
        </w:rPr>
        <w:t>183,000 people, 116,000 homes</w:t>
      </w:r>
      <w:r>
        <w:rPr>
          <w:rFonts w:ascii="Garamond" w:hAnsi="Garamond"/>
          <w:sz w:val="24"/>
          <w:szCs w:val="24"/>
        </w:rPr>
        <w:t>, $42 billion in property value.</w:t>
      </w:r>
    </w:p>
    <w:p w14:paraId="2DD8B23D" w14:textId="77777777" w:rsidR="009E780D" w:rsidRPr="00F0326A" w:rsidRDefault="009E780D" w:rsidP="00F0326A">
      <w:pPr>
        <w:pStyle w:val="ListParagraph"/>
        <w:numPr>
          <w:ilvl w:val="0"/>
          <w:numId w:val="3"/>
        </w:numPr>
        <w:rPr>
          <w:rFonts w:ascii="Garamond" w:hAnsi="Garamond"/>
          <w:sz w:val="24"/>
          <w:szCs w:val="24"/>
        </w:rPr>
      </w:pPr>
      <w:r w:rsidRPr="00583A7E">
        <w:rPr>
          <w:rFonts w:ascii="Garamond" w:hAnsi="Garamond"/>
          <w:sz w:val="24"/>
          <w:szCs w:val="24"/>
        </w:rPr>
        <w:t>401 EPA-listed sites.</w:t>
      </w:r>
    </w:p>
    <w:p w14:paraId="6D3A9D22" w14:textId="05F71496" w:rsidR="009E780D" w:rsidRDefault="009E780D" w:rsidP="009E780D">
      <w:pPr>
        <w:pStyle w:val="FigureCaption"/>
        <w:spacing w:before="120"/>
        <w:rPr>
          <w:rFonts w:ascii="Garamond" w:hAnsi="Garamond"/>
          <w:i w:val="0"/>
          <w:iCs w:val="0"/>
          <w:color w:val="auto"/>
          <w:sz w:val="24"/>
          <w:szCs w:val="24"/>
        </w:rPr>
      </w:pPr>
      <w:r w:rsidRPr="00B51BD5">
        <w:rPr>
          <w:rFonts w:ascii="Garamond" w:hAnsi="Garamond"/>
          <w:i w:val="0"/>
          <w:iCs w:val="0"/>
          <w:color w:val="auto"/>
          <w:sz w:val="24"/>
          <w:szCs w:val="24"/>
        </w:rPr>
        <w:lastRenderedPageBreak/>
        <w:t xml:space="preserve">Using enumeration of sites below 5 feet, as a moderate future SLR projection, Figure </w:t>
      </w:r>
      <w:r w:rsidR="00E1396E">
        <w:rPr>
          <w:rFonts w:ascii="Garamond" w:hAnsi="Garamond"/>
          <w:i w:val="0"/>
          <w:iCs w:val="0"/>
          <w:color w:val="auto"/>
          <w:sz w:val="24"/>
          <w:szCs w:val="24"/>
        </w:rPr>
        <w:t>6</w:t>
      </w:r>
      <w:r w:rsidRPr="00B51BD5">
        <w:rPr>
          <w:rFonts w:ascii="Garamond" w:hAnsi="Garamond"/>
          <w:i w:val="0"/>
          <w:iCs w:val="0"/>
          <w:color w:val="auto"/>
          <w:sz w:val="24"/>
          <w:szCs w:val="24"/>
        </w:rPr>
        <w:t xml:space="preserve"> maps a categorical summary of risk levels along Bay coastal counties</w:t>
      </w:r>
      <w:r w:rsidR="00E1396E">
        <w:rPr>
          <w:rFonts w:ascii="Garamond" w:hAnsi="Garamond"/>
          <w:i w:val="0"/>
          <w:iCs w:val="0"/>
          <w:color w:val="auto"/>
          <w:sz w:val="24"/>
          <w:szCs w:val="24"/>
        </w:rPr>
        <w:t xml:space="preserve"> in Virginia</w:t>
      </w:r>
      <w:r w:rsidRPr="00B51BD5">
        <w:rPr>
          <w:rFonts w:ascii="Garamond" w:hAnsi="Garamond"/>
          <w:i w:val="0"/>
          <w:iCs w:val="0"/>
          <w:color w:val="auto"/>
          <w:sz w:val="24"/>
          <w:szCs w:val="24"/>
        </w:rPr>
        <w:t>. The increasing risk (% likelihood) of</w:t>
      </w:r>
      <w:r>
        <w:rPr>
          <w:rFonts w:ascii="Garamond" w:hAnsi="Garamond"/>
          <w:i w:val="0"/>
          <w:iCs w:val="0"/>
          <w:color w:val="auto"/>
          <w:sz w:val="24"/>
          <w:szCs w:val="24"/>
        </w:rPr>
        <w:t xml:space="preserve"> flooding &gt;5 feet in Virginia from 2016 through 2200 is shown in Figure </w:t>
      </w:r>
      <w:r w:rsidR="00E1396E">
        <w:rPr>
          <w:rFonts w:ascii="Garamond" w:hAnsi="Garamond"/>
          <w:i w:val="0"/>
          <w:iCs w:val="0"/>
          <w:color w:val="auto"/>
          <w:sz w:val="24"/>
          <w:szCs w:val="24"/>
        </w:rPr>
        <w:t>7</w:t>
      </w:r>
      <w:r>
        <w:rPr>
          <w:rFonts w:ascii="Garamond" w:hAnsi="Garamond"/>
          <w:i w:val="0"/>
          <w:iCs w:val="0"/>
          <w:color w:val="auto"/>
          <w:sz w:val="24"/>
          <w:szCs w:val="24"/>
        </w:rPr>
        <w:t>.</w:t>
      </w:r>
    </w:p>
    <w:p w14:paraId="75AED07D" w14:textId="014B1885" w:rsidR="009126AC" w:rsidRDefault="009126AC" w:rsidP="003B1D15">
      <w:pPr>
        <w:tabs>
          <w:tab w:val="left" w:pos="2415"/>
        </w:tabs>
        <w:rPr>
          <w:rFonts w:ascii="Garamond" w:hAnsi="Garamond"/>
          <w:sz w:val="24"/>
          <w:szCs w:val="24"/>
        </w:rPr>
      </w:pPr>
      <w:r w:rsidRPr="00607CBE">
        <w:rPr>
          <w:noProof/>
        </w:rPr>
        <w:drawing>
          <wp:inline distT="0" distB="0" distL="0" distR="0" wp14:anchorId="38F8578C" wp14:editId="2A43564D">
            <wp:extent cx="5540867" cy="40100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239" cy="4018979"/>
                    </a:xfrm>
                    <a:prstGeom prst="rect">
                      <a:avLst/>
                    </a:prstGeom>
                  </pic:spPr>
                </pic:pic>
              </a:graphicData>
            </a:graphic>
          </wp:inline>
        </w:drawing>
      </w:r>
    </w:p>
    <w:p w14:paraId="4CAE5AAD" w14:textId="33C07066" w:rsidR="009126AC" w:rsidRDefault="009126AC" w:rsidP="009126AC">
      <w:pPr>
        <w:pStyle w:val="FigureCaption"/>
        <w:spacing w:before="120"/>
        <w:rPr>
          <w:rFonts w:ascii="Garamond" w:hAnsi="Garamond"/>
          <w:i w:val="0"/>
          <w:iCs w:val="0"/>
          <w:color w:val="auto"/>
          <w:sz w:val="22"/>
          <w:szCs w:val="24"/>
        </w:rPr>
      </w:pPr>
      <w:r>
        <w:rPr>
          <w:rStyle w:val="IntenseReference"/>
          <w:rFonts w:ascii="Garamond" w:hAnsi="Garamond"/>
          <w:i w:val="0"/>
          <w:sz w:val="22"/>
          <w:szCs w:val="22"/>
        </w:rPr>
        <w:t xml:space="preserve">Figure </w:t>
      </w:r>
      <w:r w:rsidR="00E1396E">
        <w:rPr>
          <w:rStyle w:val="IntenseReference"/>
          <w:rFonts w:ascii="Garamond" w:hAnsi="Garamond"/>
          <w:i w:val="0"/>
          <w:sz w:val="22"/>
          <w:szCs w:val="22"/>
        </w:rPr>
        <w:t>6</w:t>
      </w:r>
      <w:r>
        <w:rPr>
          <w:rStyle w:val="IntenseReference"/>
          <w:rFonts w:ascii="Garamond" w:hAnsi="Garamond"/>
          <w:i w:val="0"/>
          <w:sz w:val="22"/>
          <w:szCs w:val="22"/>
        </w:rPr>
        <w:t>.</w:t>
      </w:r>
      <w:r w:rsidRPr="004D76B0">
        <w:rPr>
          <w:rFonts w:ascii="Garamond" w:hAnsi="Garamond"/>
          <w:i w:val="0"/>
          <w:iCs w:val="0"/>
          <w:color w:val="auto"/>
          <w:sz w:val="22"/>
          <w:szCs w:val="24"/>
        </w:rPr>
        <w:t xml:space="preserve"> </w:t>
      </w:r>
      <w:r>
        <w:rPr>
          <w:rFonts w:ascii="Garamond" w:hAnsi="Garamond"/>
          <w:i w:val="0"/>
          <w:iCs w:val="0"/>
          <w:color w:val="auto"/>
          <w:sz w:val="22"/>
          <w:szCs w:val="24"/>
        </w:rPr>
        <w:t xml:space="preserve">Threats to EPA-listed sites in Virginia based on SLR that would inundate 5 </w:t>
      </w:r>
      <w:proofErr w:type="spellStart"/>
      <w:r>
        <w:rPr>
          <w:rFonts w:ascii="Garamond" w:hAnsi="Garamond"/>
          <w:i w:val="0"/>
          <w:iCs w:val="0"/>
          <w:color w:val="auto"/>
          <w:sz w:val="22"/>
          <w:szCs w:val="24"/>
        </w:rPr>
        <w:t>ft</w:t>
      </w:r>
      <w:proofErr w:type="spellEnd"/>
      <w:r>
        <w:rPr>
          <w:rFonts w:ascii="Garamond" w:hAnsi="Garamond"/>
          <w:i w:val="0"/>
          <w:iCs w:val="0"/>
          <w:color w:val="auto"/>
          <w:sz w:val="22"/>
          <w:szCs w:val="24"/>
        </w:rPr>
        <w:t xml:space="preserve"> above mean high water (</w:t>
      </w:r>
      <w:r w:rsidRPr="008A1E59">
        <w:rPr>
          <w:rFonts w:ascii="Garamond" w:hAnsi="Garamond"/>
          <w:i w:val="0"/>
          <w:iCs w:val="0"/>
          <w:color w:val="auto"/>
          <w:sz w:val="22"/>
          <w:szCs w:val="24"/>
        </w:rPr>
        <w:t>from the Surging Seas Risk Finder</w:t>
      </w:r>
      <w:r>
        <w:rPr>
          <w:rFonts w:ascii="Garamond" w:hAnsi="Garamond"/>
          <w:i w:val="0"/>
          <w:iCs w:val="0"/>
          <w:color w:val="auto"/>
          <w:sz w:val="22"/>
          <w:szCs w:val="24"/>
        </w:rPr>
        <w:t xml:space="preserve">). </w:t>
      </w:r>
    </w:p>
    <w:p w14:paraId="57D97923" w14:textId="77777777" w:rsidR="009126AC" w:rsidRDefault="009126AC" w:rsidP="009126AC">
      <w:pPr>
        <w:pStyle w:val="FigureCaption"/>
        <w:spacing w:before="120"/>
        <w:rPr>
          <w:rFonts w:ascii="Garamond" w:hAnsi="Garamond"/>
          <w:i w:val="0"/>
          <w:iCs w:val="0"/>
          <w:color w:val="auto"/>
          <w:sz w:val="22"/>
          <w:szCs w:val="24"/>
        </w:rPr>
      </w:pPr>
    </w:p>
    <w:p w14:paraId="0CD521A4" w14:textId="2F47E6D7" w:rsidR="009126AC" w:rsidRDefault="00E44A6A" w:rsidP="003B1D15">
      <w:pPr>
        <w:tabs>
          <w:tab w:val="left" w:pos="2415"/>
        </w:tabs>
        <w:rPr>
          <w:rFonts w:ascii="Garamond" w:hAnsi="Garamond"/>
          <w:sz w:val="24"/>
          <w:szCs w:val="24"/>
        </w:rPr>
      </w:pPr>
      <w:r w:rsidRPr="0009715B">
        <w:rPr>
          <w:noProof/>
        </w:rPr>
        <w:lastRenderedPageBreak/>
        <w:drawing>
          <wp:inline distT="0" distB="0" distL="0" distR="0" wp14:anchorId="746F868A" wp14:editId="675C58F0">
            <wp:extent cx="5943600" cy="482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829175"/>
                    </a:xfrm>
                    <a:prstGeom prst="rect">
                      <a:avLst/>
                    </a:prstGeom>
                  </pic:spPr>
                </pic:pic>
              </a:graphicData>
            </a:graphic>
          </wp:inline>
        </w:drawing>
      </w:r>
    </w:p>
    <w:p w14:paraId="40CB4138" w14:textId="625E9959" w:rsidR="00E44A6A" w:rsidRDefault="00E44A6A" w:rsidP="00E44A6A">
      <w:pPr>
        <w:pStyle w:val="FigureCaption"/>
        <w:spacing w:before="120"/>
        <w:rPr>
          <w:rFonts w:ascii="Garamond" w:hAnsi="Garamond"/>
          <w:i w:val="0"/>
          <w:iCs w:val="0"/>
          <w:color w:val="auto"/>
          <w:sz w:val="22"/>
          <w:szCs w:val="24"/>
        </w:rPr>
      </w:pPr>
      <w:r>
        <w:rPr>
          <w:rStyle w:val="IntenseReference"/>
          <w:rFonts w:ascii="Garamond" w:hAnsi="Garamond"/>
          <w:i w:val="0"/>
          <w:sz w:val="22"/>
          <w:szCs w:val="22"/>
        </w:rPr>
        <w:t xml:space="preserve">Figure </w:t>
      </w:r>
      <w:r w:rsidR="00E1396E">
        <w:rPr>
          <w:rStyle w:val="IntenseReference"/>
          <w:rFonts w:ascii="Garamond" w:hAnsi="Garamond"/>
          <w:i w:val="0"/>
          <w:sz w:val="22"/>
          <w:szCs w:val="22"/>
        </w:rPr>
        <w:t>7</w:t>
      </w:r>
      <w:r>
        <w:rPr>
          <w:rStyle w:val="IntenseReference"/>
          <w:rFonts w:ascii="Garamond" w:hAnsi="Garamond"/>
          <w:i w:val="0"/>
          <w:sz w:val="22"/>
          <w:szCs w:val="22"/>
        </w:rPr>
        <w:t>.</w:t>
      </w:r>
      <w:r w:rsidRPr="004D76B0">
        <w:rPr>
          <w:rFonts w:ascii="Garamond" w:hAnsi="Garamond"/>
          <w:i w:val="0"/>
          <w:iCs w:val="0"/>
          <w:color w:val="auto"/>
          <w:sz w:val="22"/>
          <w:szCs w:val="24"/>
        </w:rPr>
        <w:t xml:space="preserve"> </w:t>
      </w:r>
      <w:r>
        <w:rPr>
          <w:rFonts w:ascii="Garamond" w:hAnsi="Garamond"/>
          <w:i w:val="0"/>
          <w:iCs w:val="0"/>
          <w:color w:val="auto"/>
          <w:sz w:val="22"/>
          <w:szCs w:val="24"/>
        </w:rPr>
        <w:t>Multi-year risk of flooding above 5 feet in Virginia (</w:t>
      </w:r>
      <w:r w:rsidRPr="008A1E59">
        <w:rPr>
          <w:rFonts w:ascii="Garamond" w:hAnsi="Garamond"/>
          <w:i w:val="0"/>
          <w:iCs w:val="0"/>
          <w:color w:val="auto"/>
          <w:sz w:val="22"/>
          <w:szCs w:val="24"/>
        </w:rPr>
        <w:t>from the Surging Seas Risk Finder</w:t>
      </w:r>
      <w:r>
        <w:rPr>
          <w:rFonts w:ascii="Garamond" w:hAnsi="Garamond"/>
          <w:i w:val="0"/>
          <w:iCs w:val="0"/>
          <w:color w:val="auto"/>
          <w:sz w:val="22"/>
          <w:szCs w:val="24"/>
        </w:rPr>
        <w:t>,</w:t>
      </w:r>
      <w:r w:rsidRPr="0009715B">
        <w:t xml:space="preserve"> </w:t>
      </w:r>
      <w:hyperlink r:id="rId16" w:history="1">
        <w:r w:rsidRPr="004D5A6D">
          <w:rPr>
            <w:rStyle w:val="Hyperlink"/>
            <w:rFonts w:ascii="Garamond" w:hAnsi="Garamond"/>
            <w:i w:val="0"/>
            <w:iCs w:val="0"/>
            <w:sz w:val="22"/>
            <w:szCs w:val="24"/>
          </w:rPr>
          <w:t>http://riskfinder.climatecentral.org/state/virginia.us?comparisonType=county&amp;forecastType=NOAA2017_int_p50&amp;impact=EPA&amp;impactGroup=Contamination+Risks&amp;level=5&amp;unit=ft</w:t>
        </w:r>
      </w:hyperlink>
      <w:r>
        <w:rPr>
          <w:rFonts w:ascii="Garamond" w:hAnsi="Garamond"/>
          <w:i w:val="0"/>
          <w:iCs w:val="0"/>
          <w:color w:val="auto"/>
          <w:sz w:val="22"/>
          <w:szCs w:val="24"/>
        </w:rPr>
        <w:t xml:space="preserve"> ).</w:t>
      </w:r>
    </w:p>
    <w:p w14:paraId="7981BD61" w14:textId="77777777" w:rsidR="009126AC" w:rsidRDefault="009126AC" w:rsidP="003B1D15">
      <w:pPr>
        <w:tabs>
          <w:tab w:val="left" w:pos="2415"/>
        </w:tabs>
        <w:rPr>
          <w:rFonts w:ascii="Garamond" w:hAnsi="Garamond"/>
          <w:sz w:val="24"/>
          <w:szCs w:val="24"/>
        </w:rPr>
      </w:pPr>
    </w:p>
    <w:p w14:paraId="682BDE11" w14:textId="21D5CD20" w:rsidR="007D0B55" w:rsidRDefault="00E1396E" w:rsidP="007D0B55">
      <w:pPr>
        <w:tabs>
          <w:tab w:val="left" w:pos="2415"/>
        </w:tabs>
        <w:rPr>
          <w:rFonts w:ascii="Garamond" w:hAnsi="Garamond"/>
          <w:sz w:val="24"/>
          <w:szCs w:val="24"/>
        </w:rPr>
      </w:pPr>
      <w:r>
        <w:rPr>
          <w:rFonts w:ascii="Garamond" w:hAnsi="Garamond"/>
          <w:sz w:val="24"/>
          <w:szCs w:val="24"/>
        </w:rPr>
        <w:t xml:space="preserve">For the example of waste facilities in the Norfolk/Hampton Roads area that serve the large regional population for municipal waste disposal, </w:t>
      </w:r>
      <w:r w:rsidR="007D0B55">
        <w:rPr>
          <w:rFonts w:ascii="Garamond" w:hAnsi="Garamond"/>
          <w:sz w:val="24"/>
          <w:szCs w:val="24"/>
        </w:rPr>
        <w:t xml:space="preserve">Table 1 lists </w:t>
      </w:r>
      <w:r>
        <w:rPr>
          <w:rFonts w:ascii="Garamond" w:hAnsi="Garamond"/>
          <w:sz w:val="24"/>
          <w:szCs w:val="24"/>
        </w:rPr>
        <w:t>the related</w:t>
      </w:r>
      <w:r w:rsidR="007D0B55">
        <w:rPr>
          <w:rFonts w:ascii="Garamond" w:hAnsi="Garamond"/>
          <w:sz w:val="24"/>
          <w:szCs w:val="24"/>
        </w:rPr>
        <w:t xml:space="preserve"> waste</w:t>
      </w:r>
      <w:r w:rsidR="00D47C59">
        <w:rPr>
          <w:rFonts w:ascii="Garamond" w:hAnsi="Garamond"/>
          <w:sz w:val="24"/>
          <w:szCs w:val="24"/>
        </w:rPr>
        <w:t xml:space="preserve"> facilities</w:t>
      </w:r>
      <w:r w:rsidR="007D0B55">
        <w:rPr>
          <w:rFonts w:ascii="Garamond" w:hAnsi="Garamond"/>
          <w:sz w:val="24"/>
          <w:szCs w:val="24"/>
        </w:rPr>
        <w:t xml:space="preserve"> and they are mapped in Figure </w:t>
      </w:r>
      <w:r>
        <w:rPr>
          <w:rFonts w:ascii="Garamond" w:hAnsi="Garamond"/>
          <w:sz w:val="24"/>
          <w:szCs w:val="24"/>
        </w:rPr>
        <w:t>8</w:t>
      </w:r>
      <w:r w:rsidR="007D0B55">
        <w:rPr>
          <w:rFonts w:ascii="Garamond" w:hAnsi="Garamond"/>
          <w:sz w:val="24"/>
          <w:szCs w:val="24"/>
        </w:rPr>
        <w:t xml:space="preserve">. Projections of the portions of land in this area that would be inundated by storm surges associated with hurricanes of different categories is shown as an overlay on the waste facilities map in Figure </w:t>
      </w:r>
      <w:r>
        <w:rPr>
          <w:rFonts w:ascii="Garamond" w:hAnsi="Garamond"/>
          <w:sz w:val="24"/>
          <w:szCs w:val="24"/>
        </w:rPr>
        <w:t>9</w:t>
      </w:r>
      <w:r w:rsidR="007D0B55">
        <w:rPr>
          <w:rFonts w:ascii="Garamond" w:hAnsi="Garamond"/>
          <w:sz w:val="24"/>
          <w:szCs w:val="24"/>
        </w:rPr>
        <w:t>. This information gives some perspective on risks of waste facility inundation.</w:t>
      </w:r>
    </w:p>
    <w:p w14:paraId="3704A003" w14:textId="77777777" w:rsidR="00D101E6" w:rsidRDefault="00D101E6" w:rsidP="003B1D15">
      <w:pPr>
        <w:tabs>
          <w:tab w:val="left" w:pos="2415"/>
        </w:tabs>
        <w:rPr>
          <w:rFonts w:ascii="Garamond" w:hAnsi="Garamond"/>
          <w:sz w:val="24"/>
          <w:szCs w:val="24"/>
        </w:rPr>
      </w:pPr>
    </w:p>
    <w:p w14:paraId="47CE584F" w14:textId="77777777" w:rsidR="00782716" w:rsidRPr="00605A9D" w:rsidRDefault="00782716" w:rsidP="004D76B0">
      <w:pPr>
        <w:pStyle w:val="FigureCaption"/>
        <w:spacing w:before="120" w:after="40"/>
        <w:rPr>
          <w:rFonts w:ascii="Garamond" w:hAnsi="Garamond"/>
          <w:i w:val="0"/>
          <w:iCs w:val="0"/>
          <w:color w:val="auto"/>
          <w:sz w:val="22"/>
          <w:szCs w:val="24"/>
        </w:rPr>
      </w:pPr>
      <w:r w:rsidRPr="00605A9D">
        <w:rPr>
          <w:rStyle w:val="IntenseReference"/>
          <w:rFonts w:ascii="Garamond" w:hAnsi="Garamond"/>
          <w:i w:val="0"/>
          <w:sz w:val="22"/>
          <w:szCs w:val="22"/>
        </w:rPr>
        <w:t>Table 1</w:t>
      </w:r>
      <w:r w:rsidRPr="00605A9D">
        <w:rPr>
          <w:rFonts w:ascii="Garamond" w:hAnsi="Garamond"/>
          <w:i w:val="0"/>
          <w:iCs w:val="0"/>
          <w:color w:val="auto"/>
          <w:sz w:val="22"/>
          <w:szCs w:val="24"/>
        </w:rPr>
        <w:t xml:space="preserve">. List of Waste Facilities in the Norfolk, VA Region from I-WASTE </w:t>
      </w:r>
    </w:p>
    <w:tbl>
      <w:tblPr>
        <w:tblStyle w:val="GridTable1Light"/>
        <w:tblW w:w="9445" w:type="dxa"/>
        <w:tblInd w:w="0" w:type="dxa"/>
        <w:tblLayout w:type="fixed"/>
        <w:tblLook w:val="04A0" w:firstRow="1" w:lastRow="0" w:firstColumn="1" w:lastColumn="0" w:noHBand="0" w:noVBand="1"/>
      </w:tblPr>
      <w:tblGrid>
        <w:gridCol w:w="4225"/>
        <w:gridCol w:w="5220"/>
      </w:tblGrid>
      <w:tr w:rsidR="00782716" w14:paraId="7EE424F9" w14:textId="77777777" w:rsidTr="004D76B0">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right w:val="single" w:sz="4" w:space="0" w:color="999999"/>
            </w:tcBorders>
            <w:shd w:val="clear" w:color="auto" w:fill="DEEAF6"/>
            <w:noWrap/>
            <w:hideMark/>
          </w:tcPr>
          <w:p w14:paraId="521EA757" w14:textId="77777777" w:rsidR="00782716" w:rsidRPr="004D76B0" w:rsidRDefault="00782716">
            <w:pPr>
              <w:pStyle w:val="TableText"/>
              <w:rPr>
                <w:rFonts w:ascii="Garamond" w:hAnsi="Garamond"/>
                <w:sz w:val="20"/>
                <w:szCs w:val="22"/>
              </w:rPr>
            </w:pPr>
            <w:bookmarkStart w:id="1" w:name="RANGE!A1:B29"/>
            <w:r w:rsidRPr="004D76B0">
              <w:rPr>
                <w:rFonts w:ascii="Garamond" w:hAnsi="Garamond"/>
                <w:sz w:val="20"/>
              </w:rPr>
              <w:t>Name</w:t>
            </w:r>
            <w:bookmarkEnd w:id="1"/>
          </w:p>
        </w:tc>
        <w:tc>
          <w:tcPr>
            <w:tcW w:w="5220" w:type="dxa"/>
            <w:tcBorders>
              <w:top w:val="single" w:sz="4" w:space="0" w:color="999999"/>
              <w:left w:val="single" w:sz="4" w:space="0" w:color="999999"/>
              <w:right w:val="single" w:sz="4" w:space="0" w:color="999999"/>
            </w:tcBorders>
            <w:shd w:val="clear" w:color="auto" w:fill="DEEAF6"/>
            <w:noWrap/>
            <w:hideMark/>
          </w:tcPr>
          <w:p w14:paraId="7D0689DF" w14:textId="77777777" w:rsidR="00782716" w:rsidRPr="004D76B0" w:rsidRDefault="00782716">
            <w:pPr>
              <w:pStyle w:val="TableText"/>
              <w:cnfStyle w:val="100000000000" w:firstRow="1"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Type</w:t>
            </w:r>
          </w:p>
        </w:tc>
      </w:tr>
      <w:tr w:rsidR="00782716" w14:paraId="67347005" w14:textId="77777777" w:rsidTr="004D76B0">
        <w:trPr>
          <w:trHeight w:val="213"/>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116B5321" w14:textId="77777777" w:rsidR="00782716" w:rsidRPr="004D76B0" w:rsidRDefault="00782716">
            <w:pPr>
              <w:pStyle w:val="TableText"/>
              <w:rPr>
                <w:rFonts w:ascii="Garamond" w:hAnsi="Garamond"/>
                <w:sz w:val="20"/>
                <w:szCs w:val="22"/>
              </w:rPr>
            </w:pPr>
            <w:r w:rsidRPr="004D76B0">
              <w:rPr>
                <w:rFonts w:ascii="Garamond" w:hAnsi="Garamond"/>
                <w:b w:val="0"/>
                <w:sz w:val="20"/>
              </w:rPr>
              <w:t>Hampton-NASA Steam Plant</w:t>
            </w:r>
          </w:p>
        </w:tc>
        <w:tc>
          <w:tcPr>
            <w:tcW w:w="5220" w:type="dxa"/>
            <w:tcBorders>
              <w:top w:val="single" w:sz="4" w:space="0" w:color="999999"/>
              <w:left w:val="single" w:sz="4" w:space="0" w:color="999999"/>
              <w:bottom w:val="single" w:sz="4" w:space="0" w:color="999999"/>
              <w:right w:val="single" w:sz="4" w:space="0" w:color="999999"/>
            </w:tcBorders>
            <w:noWrap/>
            <w:hideMark/>
          </w:tcPr>
          <w:p w14:paraId="5D60D767"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Combustion/MSW Combustion Facilities</w:t>
            </w:r>
          </w:p>
        </w:tc>
      </w:tr>
      <w:tr w:rsidR="00782716" w14:paraId="08B9F0BA" w14:textId="77777777" w:rsidTr="004D76B0">
        <w:trPr>
          <w:trHeight w:val="242"/>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1BA5558" w14:textId="77777777" w:rsidR="00782716" w:rsidRPr="004D76B0" w:rsidRDefault="00782716">
            <w:pPr>
              <w:pStyle w:val="TableText"/>
              <w:rPr>
                <w:rFonts w:ascii="Garamond" w:hAnsi="Garamond"/>
                <w:sz w:val="20"/>
                <w:szCs w:val="22"/>
              </w:rPr>
            </w:pPr>
            <w:proofErr w:type="spellStart"/>
            <w:r w:rsidRPr="004D76B0">
              <w:rPr>
                <w:rFonts w:ascii="Garamond" w:hAnsi="Garamond"/>
                <w:b w:val="0"/>
                <w:sz w:val="20"/>
              </w:rPr>
              <w:t>Wheelabrator</w:t>
            </w:r>
            <w:proofErr w:type="spellEnd"/>
            <w:r w:rsidRPr="004D76B0">
              <w:rPr>
                <w:rFonts w:ascii="Garamond" w:hAnsi="Garamond"/>
                <w:b w:val="0"/>
                <w:sz w:val="20"/>
              </w:rPr>
              <w:t xml:space="preserve"> Portsmouth Inc.</w:t>
            </w:r>
          </w:p>
        </w:tc>
        <w:tc>
          <w:tcPr>
            <w:tcW w:w="5220" w:type="dxa"/>
            <w:tcBorders>
              <w:top w:val="single" w:sz="4" w:space="0" w:color="999999"/>
              <w:left w:val="single" w:sz="4" w:space="0" w:color="999999"/>
              <w:bottom w:val="single" w:sz="4" w:space="0" w:color="999999"/>
              <w:right w:val="single" w:sz="4" w:space="0" w:color="999999"/>
            </w:tcBorders>
            <w:noWrap/>
            <w:hideMark/>
          </w:tcPr>
          <w:p w14:paraId="4468EF87"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Combustion/MSW Combustion Facilities</w:t>
            </w:r>
          </w:p>
        </w:tc>
      </w:tr>
      <w:tr w:rsidR="00782716" w14:paraId="7B6A4AF0" w14:textId="77777777" w:rsidTr="004D76B0">
        <w:trPr>
          <w:trHeight w:val="1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054CB83" w14:textId="77777777" w:rsidR="00782716" w:rsidRPr="004D76B0" w:rsidRDefault="00782716">
            <w:pPr>
              <w:pStyle w:val="TableText"/>
              <w:rPr>
                <w:rFonts w:ascii="Garamond" w:hAnsi="Garamond"/>
                <w:sz w:val="20"/>
                <w:szCs w:val="22"/>
              </w:rPr>
            </w:pPr>
            <w:proofErr w:type="spellStart"/>
            <w:r w:rsidRPr="004D76B0">
              <w:rPr>
                <w:rFonts w:ascii="Garamond" w:hAnsi="Garamond"/>
                <w:b w:val="0"/>
                <w:sz w:val="20"/>
              </w:rPr>
              <w:t>Wheelabrator</w:t>
            </w:r>
            <w:proofErr w:type="spellEnd"/>
            <w:r w:rsidRPr="004D76B0">
              <w:rPr>
                <w:rFonts w:ascii="Garamond" w:hAnsi="Garamond"/>
                <w:b w:val="0"/>
                <w:sz w:val="20"/>
              </w:rPr>
              <w:t xml:space="preserve"> Portsmouth Inc.</w:t>
            </w:r>
          </w:p>
        </w:tc>
        <w:tc>
          <w:tcPr>
            <w:tcW w:w="5220" w:type="dxa"/>
            <w:tcBorders>
              <w:top w:val="single" w:sz="4" w:space="0" w:color="999999"/>
              <w:left w:val="single" w:sz="4" w:space="0" w:color="999999"/>
              <w:bottom w:val="single" w:sz="4" w:space="0" w:color="999999"/>
              <w:right w:val="single" w:sz="4" w:space="0" w:color="999999"/>
            </w:tcBorders>
            <w:noWrap/>
            <w:hideMark/>
          </w:tcPr>
          <w:p w14:paraId="3010466B"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Combustion/MSW Combustion Facilities</w:t>
            </w:r>
          </w:p>
        </w:tc>
      </w:tr>
      <w:tr w:rsidR="00782716" w14:paraId="5E5FBF69" w14:textId="77777777" w:rsidTr="004D76B0">
        <w:trPr>
          <w:trHeight w:val="125"/>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37C9D1BF" w14:textId="77777777" w:rsidR="00782716" w:rsidRPr="004D76B0" w:rsidRDefault="00782716">
            <w:pPr>
              <w:pStyle w:val="TableText"/>
              <w:rPr>
                <w:rFonts w:ascii="Garamond" w:hAnsi="Garamond"/>
                <w:sz w:val="20"/>
                <w:szCs w:val="22"/>
              </w:rPr>
            </w:pPr>
            <w:r w:rsidRPr="004D76B0">
              <w:rPr>
                <w:rFonts w:ascii="Garamond" w:hAnsi="Garamond"/>
                <w:b w:val="0"/>
                <w:sz w:val="20"/>
              </w:rPr>
              <w:t>York County Transfer Station</w:t>
            </w:r>
          </w:p>
        </w:tc>
        <w:tc>
          <w:tcPr>
            <w:tcW w:w="5220" w:type="dxa"/>
            <w:tcBorders>
              <w:top w:val="single" w:sz="4" w:space="0" w:color="999999"/>
              <w:left w:val="single" w:sz="4" w:space="0" w:color="999999"/>
              <w:bottom w:val="single" w:sz="4" w:space="0" w:color="999999"/>
              <w:right w:val="single" w:sz="4" w:space="0" w:color="999999"/>
            </w:tcBorders>
            <w:noWrap/>
            <w:hideMark/>
          </w:tcPr>
          <w:p w14:paraId="54807044"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Compost Facility</w:t>
            </w:r>
          </w:p>
        </w:tc>
      </w:tr>
      <w:tr w:rsidR="00782716" w14:paraId="12B9D57F" w14:textId="77777777" w:rsidTr="004D76B0">
        <w:trPr>
          <w:trHeight w:val="152"/>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1A3F0FC4" w14:textId="77777777" w:rsidR="00782716" w:rsidRPr="004D76B0" w:rsidRDefault="00782716">
            <w:pPr>
              <w:pStyle w:val="TableText"/>
              <w:rPr>
                <w:rFonts w:ascii="Garamond" w:hAnsi="Garamond"/>
                <w:sz w:val="20"/>
                <w:szCs w:val="22"/>
              </w:rPr>
            </w:pPr>
            <w:proofErr w:type="spellStart"/>
            <w:r w:rsidRPr="004D76B0">
              <w:rPr>
                <w:rFonts w:ascii="Garamond" w:hAnsi="Garamond"/>
                <w:b w:val="0"/>
                <w:sz w:val="20"/>
              </w:rPr>
              <w:lastRenderedPageBreak/>
              <w:t>Marpol</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004C85E8"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 xml:space="preserve">Decontaminated Wastewater/Centralized Waste Treatment </w:t>
            </w:r>
          </w:p>
        </w:tc>
      </w:tr>
      <w:tr w:rsidR="00782716" w14:paraId="1B602915" w14:textId="77777777" w:rsidTr="004D76B0">
        <w:trPr>
          <w:trHeight w:val="1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7E403629" w14:textId="77777777" w:rsidR="00782716" w:rsidRPr="004D76B0" w:rsidRDefault="00782716">
            <w:pPr>
              <w:pStyle w:val="TableText"/>
              <w:rPr>
                <w:rFonts w:ascii="Garamond" w:hAnsi="Garamond"/>
                <w:sz w:val="20"/>
                <w:szCs w:val="22"/>
              </w:rPr>
            </w:pPr>
            <w:r w:rsidRPr="004D76B0">
              <w:rPr>
                <w:rFonts w:ascii="Garamond" w:hAnsi="Garamond"/>
                <w:b w:val="0"/>
                <w:sz w:val="20"/>
              </w:rPr>
              <w:t>Petrochem Recovery Services Inc.</w:t>
            </w:r>
          </w:p>
        </w:tc>
        <w:tc>
          <w:tcPr>
            <w:tcW w:w="5220" w:type="dxa"/>
            <w:tcBorders>
              <w:top w:val="single" w:sz="4" w:space="0" w:color="999999"/>
              <w:left w:val="single" w:sz="4" w:space="0" w:color="999999"/>
              <w:bottom w:val="single" w:sz="4" w:space="0" w:color="999999"/>
              <w:right w:val="single" w:sz="4" w:space="0" w:color="999999"/>
            </w:tcBorders>
            <w:noWrap/>
            <w:hideMark/>
          </w:tcPr>
          <w:p w14:paraId="006AC6FB"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 xml:space="preserve">Decontaminated Wastewater/Centralized Waste Treatment </w:t>
            </w:r>
          </w:p>
        </w:tc>
      </w:tr>
      <w:tr w:rsidR="00782716" w14:paraId="6D2C7EB0" w14:textId="77777777" w:rsidTr="004D76B0">
        <w:trPr>
          <w:trHeight w:val="125"/>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5314D050"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HRSD – Army Base Sewage Treatment </w:t>
            </w:r>
          </w:p>
        </w:tc>
        <w:tc>
          <w:tcPr>
            <w:tcW w:w="5220" w:type="dxa"/>
            <w:tcBorders>
              <w:top w:val="single" w:sz="4" w:space="0" w:color="999999"/>
              <w:left w:val="single" w:sz="4" w:space="0" w:color="999999"/>
              <w:bottom w:val="single" w:sz="4" w:space="0" w:color="999999"/>
              <w:right w:val="single" w:sz="4" w:space="0" w:color="999999"/>
            </w:tcBorders>
            <w:noWrap/>
            <w:hideMark/>
          </w:tcPr>
          <w:p w14:paraId="60886F8E"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08B17562" w14:textId="77777777" w:rsidTr="004D76B0">
        <w:trPr>
          <w:trHeight w:val="152"/>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5F05198D"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HRSD – Boat Harbor Sewage Treatment </w:t>
            </w:r>
          </w:p>
        </w:tc>
        <w:tc>
          <w:tcPr>
            <w:tcW w:w="5220" w:type="dxa"/>
            <w:tcBorders>
              <w:top w:val="single" w:sz="4" w:space="0" w:color="999999"/>
              <w:left w:val="single" w:sz="4" w:space="0" w:color="999999"/>
              <w:bottom w:val="single" w:sz="4" w:space="0" w:color="999999"/>
              <w:right w:val="single" w:sz="4" w:space="0" w:color="999999"/>
            </w:tcBorders>
            <w:noWrap/>
            <w:hideMark/>
          </w:tcPr>
          <w:p w14:paraId="61B21A8D"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311FA36C" w14:textId="77777777" w:rsidTr="004D76B0">
        <w:trPr>
          <w:trHeight w:val="1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1AF0E222"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HRSD – Nansemond Sewage Treatment Plant </w:t>
            </w:r>
          </w:p>
        </w:tc>
        <w:tc>
          <w:tcPr>
            <w:tcW w:w="5220" w:type="dxa"/>
            <w:tcBorders>
              <w:top w:val="single" w:sz="4" w:space="0" w:color="999999"/>
              <w:left w:val="single" w:sz="4" w:space="0" w:color="999999"/>
              <w:bottom w:val="single" w:sz="4" w:space="0" w:color="999999"/>
              <w:right w:val="single" w:sz="4" w:space="0" w:color="999999"/>
            </w:tcBorders>
            <w:noWrap/>
            <w:hideMark/>
          </w:tcPr>
          <w:p w14:paraId="261FE84D"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7512FFF3" w14:textId="77777777" w:rsidTr="004D76B0">
        <w:trPr>
          <w:trHeight w:val="143"/>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25CD2AB9"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HRSD – Virginia Initiative STP </w:t>
            </w:r>
          </w:p>
        </w:tc>
        <w:tc>
          <w:tcPr>
            <w:tcW w:w="5220" w:type="dxa"/>
            <w:tcBorders>
              <w:top w:val="single" w:sz="4" w:space="0" w:color="999999"/>
              <w:left w:val="single" w:sz="4" w:space="0" w:color="999999"/>
              <w:bottom w:val="single" w:sz="4" w:space="0" w:color="999999"/>
              <w:right w:val="single" w:sz="4" w:space="0" w:color="999999"/>
            </w:tcBorders>
            <w:noWrap/>
            <w:hideMark/>
          </w:tcPr>
          <w:p w14:paraId="4AECAF6F"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5D829E34" w14:textId="77777777" w:rsidTr="004D76B0">
        <w:trPr>
          <w:trHeight w:val="1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74F20A2E"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HRSD – York River Sewage Treatment </w:t>
            </w:r>
          </w:p>
        </w:tc>
        <w:tc>
          <w:tcPr>
            <w:tcW w:w="5220" w:type="dxa"/>
            <w:tcBorders>
              <w:top w:val="single" w:sz="4" w:space="0" w:color="999999"/>
              <w:left w:val="single" w:sz="4" w:space="0" w:color="999999"/>
              <w:bottom w:val="single" w:sz="4" w:space="0" w:color="999999"/>
              <w:right w:val="single" w:sz="4" w:space="0" w:color="999999"/>
            </w:tcBorders>
            <w:noWrap/>
            <w:hideMark/>
          </w:tcPr>
          <w:p w14:paraId="047D7F20"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604C6BA3" w14:textId="77777777" w:rsidTr="004D76B0">
        <w:trPr>
          <w:trHeight w:val="197"/>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76FC17D7"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VDOT Interstate 64 Goochland Rest Area </w:t>
            </w:r>
          </w:p>
        </w:tc>
        <w:tc>
          <w:tcPr>
            <w:tcW w:w="5220" w:type="dxa"/>
            <w:tcBorders>
              <w:top w:val="single" w:sz="4" w:space="0" w:color="999999"/>
              <w:left w:val="single" w:sz="4" w:space="0" w:color="999999"/>
              <w:bottom w:val="single" w:sz="4" w:space="0" w:color="999999"/>
              <w:right w:val="single" w:sz="4" w:space="0" w:color="999999"/>
            </w:tcBorders>
            <w:noWrap/>
            <w:hideMark/>
          </w:tcPr>
          <w:p w14:paraId="402B82F9"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Decontaminated Wastewater/POTW</w:t>
            </w:r>
          </w:p>
        </w:tc>
      </w:tr>
      <w:tr w:rsidR="00782716" w14:paraId="63E14507" w14:textId="77777777" w:rsidTr="004D76B0">
        <w:trPr>
          <w:trHeight w:val="152"/>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ECA3C9B" w14:textId="77777777" w:rsidR="00782716" w:rsidRPr="004D76B0" w:rsidRDefault="00782716">
            <w:pPr>
              <w:pStyle w:val="TableText"/>
              <w:rPr>
                <w:rFonts w:ascii="Garamond" w:hAnsi="Garamond"/>
                <w:sz w:val="20"/>
                <w:szCs w:val="22"/>
              </w:rPr>
            </w:pPr>
            <w:r w:rsidRPr="004D76B0">
              <w:rPr>
                <w:rFonts w:ascii="Garamond" w:hAnsi="Garamond"/>
                <w:b w:val="0"/>
                <w:sz w:val="20"/>
              </w:rPr>
              <w:t>Naval Base Norfolk</w:t>
            </w:r>
          </w:p>
        </w:tc>
        <w:tc>
          <w:tcPr>
            <w:tcW w:w="5220" w:type="dxa"/>
            <w:tcBorders>
              <w:top w:val="single" w:sz="4" w:space="0" w:color="999999"/>
              <w:left w:val="single" w:sz="4" w:space="0" w:color="999999"/>
              <w:bottom w:val="single" w:sz="4" w:space="0" w:color="999999"/>
              <w:right w:val="single" w:sz="4" w:space="0" w:color="999999"/>
            </w:tcBorders>
            <w:noWrap/>
            <w:hideMark/>
          </w:tcPr>
          <w:p w14:paraId="5F83F1D4"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Government-Owned Land/Facilities</w:t>
            </w:r>
          </w:p>
        </w:tc>
      </w:tr>
      <w:tr w:rsidR="00782716" w14:paraId="71807301" w14:textId="77777777" w:rsidTr="004D76B0">
        <w:trPr>
          <w:trHeight w:val="1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542216C7"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Portsmouth City - </w:t>
            </w:r>
            <w:proofErr w:type="spellStart"/>
            <w:r w:rsidRPr="004D76B0">
              <w:rPr>
                <w:rFonts w:ascii="Garamond" w:hAnsi="Garamond"/>
                <w:b w:val="0"/>
                <w:sz w:val="20"/>
              </w:rPr>
              <w:t>Craney</w:t>
            </w:r>
            <w:proofErr w:type="spellEnd"/>
            <w:r w:rsidRPr="004D76B0">
              <w:rPr>
                <w:rFonts w:ascii="Garamond" w:hAnsi="Garamond"/>
                <w:b w:val="0"/>
                <w:sz w:val="20"/>
              </w:rPr>
              <w:t xml:space="preserve"> Island Landfill</w:t>
            </w:r>
          </w:p>
        </w:tc>
        <w:tc>
          <w:tcPr>
            <w:tcW w:w="5220" w:type="dxa"/>
            <w:tcBorders>
              <w:top w:val="single" w:sz="4" w:space="0" w:color="999999"/>
              <w:left w:val="single" w:sz="4" w:space="0" w:color="999999"/>
              <w:bottom w:val="single" w:sz="4" w:space="0" w:color="999999"/>
              <w:right w:val="single" w:sz="4" w:space="0" w:color="999999"/>
            </w:tcBorders>
            <w:noWrap/>
            <w:hideMark/>
          </w:tcPr>
          <w:p w14:paraId="3AD0A616" w14:textId="1D6575A6" w:rsidR="00782716" w:rsidRPr="004D76B0" w:rsidRDefault="00782716" w:rsidP="004D76B0">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 xml:space="preserve">Landfills/Inert or Construction </w:t>
            </w:r>
            <w:r w:rsidR="004D76B0">
              <w:rPr>
                <w:rFonts w:ascii="Garamond" w:hAnsi="Garamond"/>
                <w:sz w:val="20"/>
              </w:rPr>
              <w:t>&amp;</w:t>
            </w:r>
            <w:r w:rsidRPr="004D76B0">
              <w:rPr>
                <w:rFonts w:ascii="Garamond" w:hAnsi="Garamond"/>
                <w:sz w:val="20"/>
              </w:rPr>
              <w:t xml:space="preserve"> Demolition (C </w:t>
            </w:r>
            <w:r w:rsidR="004D76B0">
              <w:rPr>
                <w:rFonts w:ascii="Garamond" w:hAnsi="Garamond"/>
                <w:sz w:val="20"/>
              </w:rPr>
              <w:t>&amp;</w:t>
            </w:r>
            <w:r w:rsidRPr="004D76B0">
              <w:rPr>
                <w:rFonts w:ascii="Garamond" w:hAnsi="Garamond"/>
                <w:sz w:val="20"/>
              </w:rPr>
              <w:t xml:space="preserve"> D) Landfills</w:t>
            </w:r>
          </w:p>
        </w:tc>
      </w:tr>
      <w:tr w:rsidR="00782716" w14:paraId="38785467" w14:textId="77777777" w:rsidTr="004D76B0">
        <w:trPr>
          <w:trHeight w:val="215"/>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7C8E579" w14:textId="77777777" w:rsidR="00782716" w:rsidRPr="004D76B0" w:rsidRDefault="00782716">
            <w:pPr>
              <w:pStyle w:val="TableText"/>
              <w:rPr>
                <w:rFonts w:ascii="Garamond" w:hAnsi="Garamond"/>
                <w:sz w:val="20"/>
                <w:szCs w:val="22"/>
              </w:rPr>
            </w:pPr>
            <w:r w:rsidRPr="004D76B0">
              <w:rPr>
                <w:rFonts w:ascii="Garamond" w:hAnsi="Garamond"/>
                <w:b w:val="0"/>
                <w:sz w:val="20"/>
              </w:rPr>
              <w:t>Virginia Beach Landfill No. 2</w:t>
            </w:r>
          </w:p>
        </w:tc>
        <w:tc>
          <w:tcPr>
            <w:tcW w:w="5220" w:type="dxa"/>
            <w:tcBorders>
              <w:top w:val="single" w:sz="4" w:space="0" w:color="999999"/>
              <w:left w:val="single" w:sz="4" w:space="0" w:color="999999"/>
              <w:bottom w:val="single" w:sz="4" w:space="0" w:color="999999"/>
              <w:right w:val="single" w:sz="4" w:space="0" w:color="999999"/>
            </w:tcBorders>
            <w:noWrap/>
            <w:hideMark/>
          </w:tcPr>
          <w:p w14:paraId="21183364" w14:textId="573EF9B1" w:rsidR="00782716" w:rsidRPr="004D76B0" w:rsidRDefault="00782716" w:rsidP="004D76B0">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 xml:space="preserve">Landfills/Inert or Construction </w:t>
            </w:r>
            <w:r w:rsidR="004D76B0">
              <w:rPr>
                <w:rFonts w:ascii="Garamond" w:hAnsi="Garamond"/>
                <w:sz w:val="20"/>
              </w:rPr>
              <w:t>&amp;</w:t>
            </w:r>
            <w:r w:rsidRPr="004D76B0">
              <w:rPr>
                <w:rFonts w:ascii="Garamond" w:hAnsi="Garamond"/>
                <w:sz w:val="20"/>
              </w:rPr>
              <w:t xml:space="preserve"> Demolition (C </w:t>
            </w:r>
            <w:r w:rsidR="004D76B0">
              <w:rPr>
                <w:rFonts w:ascii="Garamond" w:hAnsi="Garamond"/>
                <w:sz w:val="20"/>
              </w:rPr>
              <w:t>&amp;</w:t>
            </w:r>
            <w:r w:rsidRPr="004D76B0">
              <w:rPr>
                <w:rFonts w:ascii="Garamond" w:hAnsi="Garamond"/>
                <w:sz w:val="20"/>
              </w:rPr>
              <w:t xml:space="preserve"> D) Landfills</w:t>
            </w:r>
          </w:p>
        </w:tc>
      </w:tr>
      <w:tr w:rsidR="00782716" w14:paraId="45E0FDB7" w14:textId="77777777" w:rsidTr="004D76B0">
        <w:trPr>
          <w:trHeight w:val="1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7B4ABB6C" w14:textId="77777777" w:rsidR="00782716" w:rsidRPr="004D76B0" w:rsidRDefault="00782716">
            <w:pPr>
              <w:pStyle w:val="TableText"/>
              <w:rPr>
                <w:rFonts w:ascii="Garamond" w:hAnsi="Garamond"/>
                <w:sz w:val="20"/>
                <w:szCs w:val="22"/>
              </w:rPr>
            </w:pPr>
            <w:r w:rsidRPr="004D76B0">
              <w:rPr>
                <w:rFonts w:ascii="Garamond" w:hAnsi="Garamond"/>
                <w:b w:val="0"/>
                <w:sz w:val="20"/>
              </w:rPr>
              <w:t>USA Waste Of Virginia Landfills - Bethel Landfill</w:t>
            </w:r>
          </w:p>
        </w:tc>
        <w:tc>
          <w:tcPr>
            <w:tcW w:w="5220" w:type="dxa"/>
            <w:tcBorders>
              <w:top w:val="single" w:sz="4" w:space="0" w:color="999999"/>
              <w:left w:val="single" w:sz="4" w:space="0" w:color="999999"/>
              <w:bottom w:val="single" w:sz="4" w:space="0" w:color="999999"/>
              <w:right w:val="single" w:sz="4" w:space="0" w:color="999999"/>
            </w:tcBorders>
            <w:noWrap/>
            <w:hideMark/>
          </w:tcPr>
          <w:p w14:paraId="7D050D6D"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Landfills/MSW Landfills</w:t>
            </w:r>
          </w:p>
        </w:tc>
      </w:tr>
      <w:tr w:rsidR="00782716" w14:paraId="5468A943" w14:textId="77777777" w:rsidTr="004D76B0">
        <w:trPr>
          <w:trHeight w:val="1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3723DB4" w14:textId="77777777" w:rsidR="00782716" w:rsidRPr="004D76B0" w:rsidRDefault="00782716">
            <w:pPr>
              <w:pStyle w:val="TableText"/>
              <w:rPr>
                <w:rFonts w:ascii="Garamond" w:hAnsi="Garamond"/>
                <w:sz w:val="20"/>
                <w:szCs w:val="22"/>
              </w:rPr>
            </w:pPr>
            <w:r w:rsidRPr="004D76B0">
              <w:rPr>
                <w:rFonts w:ascii="Garamond" w:hAnsi="Garamond"/>
                <w:b w:val="0"/>
                <w:sz w:val="20"/>
              </w:rPr>
              <w:t>Virginia Beach Landfill No. 2</w:t>
            </w:r>
          </w:p>
        </w:tc>
        <w:tc>
          <w:tcPr>
            <w:tcW w:w="5220" w:type="dxa"/>
            <w:tcBorders>
              <w:top w:val="single" w:sz="4" w:space="0" w:color="999999"/>
              <w:left w:val="single" w:sz="4" w:space="0" w:color="999999"/>
              <w:bottom w:val="single" w:sz="4" w:space="0" w:color="999999"/>
              <w:right w:val="single" w:sz="4" w:space="0" w:color="999999"/>
            </w:tcBorders>
            <w:noWrap/>
            <w:hideMark/>
          </w:tcPr>
          <w:p w14:paraId="30B615A2"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Landfills/MSW Landfills</w:t>
            </w:r>
          </w:p>
        </w:tc>
      </w:tr>
      <w:tr w:rsidR="00782716" w14:paraId="114029F5" w14:textId="77777777" w:rsidTr="004D76B0">
        <w:trPr>
          <w:trHeight w:val="233"/>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4E325F22" w14:textId="30B5B4EC" w:rsidR="00782716" w:rsidRPr="004D76B0" w:rsidRDefault="00782716" w:rsidP="004D76B0">
            <w:pPr>
              <w:pStyle w:val="TableText"/>
              <w:rPr>
                <w:rFonts w:ascii="Garamond" w:hAnsi="Garamond"/>
                <w:sz w:val="20"/>
                <w:szCs w:val="22"/>
              </w:rPr>
            </w:pPr>
            <w:r w:rsidRPr="004D76B0">
              <w:rPr>
                <w:rFonts w:ascii="Garamond" w:hAnsi="Garamond"/>
                <w:b w:val="0"/>
                <w:sz w:val="20"/>
              </w:rPr>
              <w:t xml:space="preserve">Huntington Ingalls Incorporated-NN </w:t>
            </w:r>
            <w:proofErr w:type="spellStart"/>
            <w:r w:rsidRPr="004D76B0">
              <w:rPr>
                <w:rFonts w:ascii="Garamond" w:hAnsi="Garamond"/>
                <w:b w:val="0"/>
                <w:sz w:val="20"/>
              </w:rPr>
              <w:t>Shipbldg</w:t>
            </w:r>
            <w:proofErr w:type="spellEnd"/>
            <w:r w:rsidRPr="004D76B0">
              <w:rPr>
                <w:rFonts w:ascii="Garamond" w:hAnsi="Garamond"/>
                <w:b w:val="0"/>
                <w:sz w:val="20"/>
              </w:rPr>
              <w:t xml:space="preserve"> </w:t>
            </w:r>
            <w:proofErr w:type="spellStart"/>
            <w:r w:rsidRPr="004D76B0">
              <w:rPr>
                <w:rFonts w:ascii="Garamond" w:hAnsi="Garamond"/>
                <w:b w:val="0"/>
                <w:sz w:val="20"/>
              </w:rPr>
              <w:t>Div</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7D78757D"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Other/Electric Arc Furnaces</w:t>
            </w:r>
          </w:p>
        </w:tc>
      </w:tr>
      <w:tr w:rsidR="00782716" w14:paraId="5482E3F5"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596650F" w14:textId="77777777" w:rsidR="00782716" w:rsidRPr="004D76B0" w:rsidRDefault="00782716">
            <w:pPr>
              <w:pStyle w:val="TableText"/>
              <w:rPr>
                <w:rFonts w:ascii="Garamond" w:hAnsi="Garamond"/>
                <w:sz w:val="20"/>
                <w:szCs w:val="22"/>
              </w:rPr>
            </w:pPr>
            <w:r w:rsidRPr="004D76B0">
              <w:rPr>
                <w:rFonts w:ascii="Garamond" w:hAnsi="Garamond"/>
                <w:b w:val="0"/>
                <w:sz w:val="20"/>
              </w:rPr>
              <w:t>HRSD - James River Sewage Treatment</w:t>
            </w:r>
          </w:p>
        </w:tc>
        <w:tc>
          <w:tcPr>
            <w:tcW w:w="5220" w:type="dxa"/>
            <w:tcBorders>
              <w:top w:val="single" w:sz="4" w:space="0" w:color="999999"/>
              <w:left w:val="single" w:sz="4" w:space="0" w:color="999999"/>
              <w:bottom w:val="single" w:sz="4" w:space="0" w:color="999999"/>
              <w:right w:val="single" w:sz="4" w:space="0" w:color="999999"/>
            </w:tcBorders>
            <w:noWrap/>
            <w:hideMark/>
          </w:tcPr>
          <w:p w14:paraId="55AFCE1C"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POTW; Other/Electric Arc Furnaces</w:t>
            </w:r>
          </w:p>
        </w:tc>
      </w:tr>
      <w:tr w:rsidR="00782716" w14:paraId="7F8722ED" w14:textId="77777777" w:rsidTr="004D76B0">
        <w:trPr>
          <w:trHeight w:val="125"/>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3C701B66"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Area Container Services </w:t>
            </w:r>
            <w:proofErr w:type="spellStart"/>
            <w:r w:rsidRPr="004D76B0">
              <w:rPr>
                <w:rFonts w:ascii="Garamond" w:hAnsi="Garamond"/>
                <w:b w:val="0"/>
                <w:sz w:val="20"/>
              </w:rPr>
              <w:t>Inc</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33D7F963"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13EAEE81"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7E53E7BD"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WMI / Recycle America Hampton </w:t>
            </w:r>
            <w:proofErr w:type="spellStart"/>
            <w:r w:rsidRPr="004D76B0">
              <w:rPr>
                <w:rFonts w:ascii="Garamond" w:hAnsi="Garamond"/>
                <w:b w:val="0"/>
                <w:sz w:val="20"/>
              </w:rPr>
              <w:t>Rds</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73EE316C"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281FCDF7" w14:textId="77777777" w:rsidTr="004D76B0">
        <w:trPr>
          <w:trHeight w:val="9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36CC7E7D"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BFI / Chesapeake </w:t>
            </w:r>
            <w:proofErr w:type="spellStart"/>
            <w:r w:rsidRPr="004D76B0">
              <w:rPr>
                <w:rFonts w:ascii="Garamond" w:hAnsi="Garamond"/>
                <w:b w:val="0"/>
                <w:sz w:val="20"/>
              </w:rPr>
              <w:t>Transcyclery</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5E1D6104"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4C63555C" w14:textId="77777777" w:rsidTr="004D76B0">
        <w:trPr>
          <w:trHeight w:val="143"/>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72D4BB4" w14:textId="77777777" w:rsidR="00782716" w:rsidRPr="004D76B0" w:rsidRDefault="00782716">
            <w:pPr>
              <w:pStyle w:val="TableText"/>
              <w:rPr>
                <w:rFonts w:ascii="Garamond" w:hAnsi="Garamond"/>
                <w:sz w:val="20"/>
                <w:szCs w:val="22"/>
              </w:rPr>
            </w:pPr>
            <w:proofErr w:type="spellStart"/>
            <w:r w:rsidRPr="004D76B0">
              <w:rPr>
                <w:rFonts w:ascii="Garamond" w:hAnsi="Garamond"/>
                <w:b w:val="0"/>
                <w:sz w:val="20"/>
              </w:rPr>
              <w:t>Craney</w:t>
            </w:r>
            <w:proofErr w:type="spellEnd"/>
            <w:r w:rsidRPr="004D76B0">
              <w:rPr>
                <w:rFonts w:ascii="Garamond" w:hAnsi="Garamond"/>
                <w:b w:val="0"/>
                <w:sz w:val="20"/>
              </w:rPr>
              <w:t xml:space="preserve"> Island Mat Rec </w:t>
            </w:r>
            <w:proofErr w:type="spellStart"/>
            <w:r w:rsidRPr="004D76B0">
              <w:rPr>
                <w:rFonts w:ascii="Garamond" w:hAnsi="Garamond"/>
                <w:b w:val="0"/>
                <w:sz w:val="20"/>
              </w:rPr>
              <w:t>Fac</w:t>
            </w:r>
            <w:proofErr w:type="spellEnd"/>
          </w:p>
        </w:tc>
        <w:tc>
          <w:tcPr>
            <w:tcW w:w="5220" w:type="dxa"/>
            <w:tcBorders>
              <w:top w:val="single" w:sz="4" w:space="0" w:color="999999"/>
              <w:left w:val="single" w:sz="4" w:space="0" w:color="999999"/>
              <w:bottom w:val="single" w:sz="4" w:space="0" w:color="999999"/>
              <w:right w:val="single" w:sz="4" w:space="0" w:color="999999"/>
            </w:tcBorders>
            <w:noWrap/>
            <w:hideMark/>
          </w:tcPr>
          <w:p w14:paraId="4FBE2376"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15386CBD" w14:textId="77777777" w:rsidTr="004D76B0">
        <w:trPr>
          <w:trHeight w:val="242"/>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19CE8F0E"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Newport News Materials Recovery </w:t>
            </w:r>
          </w:p>
        </w:tc>
        <w:tc>
          <w:tcPr>
            <w:tcW w:w="5220" w:type="dxa"/>
            <w:tcBorders>
              <w:top w:val="single" w:sz="4" w:space="0" w:color="999999"/>
              <w:left w:val="single" w:sz="4" w:space="0" w:color="999999"/>
              <w:bottom w:val="single" w:sz="4" w:space="0" w:color="999999"/>
              <w:right w:val="single" w:sz="4" w:space="0" w:color="999999"/>
            </w:tcBorders>
            <w:noWrap/>
            <w:hideMark/>
          </w:tcPr>
          <w:p w14:paraId="2452BD64"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0CBD3D90"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30B0461C" w14:textId="77777777" w:rsidR="00782716" w:rsidRPr="004D76B0" w:rsidRDefault="00782716">
            <w:pPr>
              <w:pStyle w:val="TableText"/>
              <w:rPr>
                <w:rFonts w:ascii="Garamond" w:hAnsi="Garamond"/>
                <w:sz w:val="20"/>
                <w:szCs w:val="22"/>
              </w:rPr>
            </w:pPr>
            <w:r w:rsidRPr="004D76B0">
              <w:rPr>
                <w:rFonts w:ascii="Garamond" w:hAnsi="Garamond"/>
                <w:b w:val="0"/>
                <w:sz w:val="20"/>
              </w:rPr>
              <w:t>Safety-Kleen / Chesapeake County</w:t>
            </w:r>
          </w:p>
        </w:tc>
        <w:tc>
          <w:tcPr>
            <w:tcW w:w="5220" w:type="dxa"/>
            <w:tcBorders>
              <w:top w:val="single" w:sz="4" w:space="0" w:color="999999"/>
              <w:left w:val="single" w:sz="4" w:space="0" w:color="999999"/>
              <w:bottom w:val="single" w:sz="4" w:space="0" w:color="999999"/>
              <w:right w:val="single" w:sz="4" w:space="0" w:color="999999"/>
            </w:tcBorders>
            <w:noWrap/>
            <w:hideMark/>
          </w:tcPr>
          <w:p w14:paraId="757E6388"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119D913C"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52EF792E" w14:textId="77777777" w:rsidR="00782716" w:rsidRPr="004D76B0" w:rsidRDefault="00782716">
            <w:pPr>
              <w:pStyle w:val="TableText"/>
              <w:rPr>
                <w:rFonts w:ascii="Garamond" w:hAnsi="Garamond"/>
                <w:sz w:val="20"/>
                <w:szCs w:val="22"/>
              </w:rPr>
            </w:pPr>
            <w:r w:rsidRPr="004D76B0">
              <w:rPr>
                <w:rFonts w:ascii="Garamond" w:hAnsi="Garamond"/>
                <w:b w:val="0"/>
                <w:sz w:val="20"/>
              </w:rPr>
              <w:t>SPSA / Chesapeake Transfer Station</w:t>
            </w:r>
          </w:p>
        </w:tc>
        <w:tc>
          <w:tcPr>
            <w:tcW w:w="5220" w:type="dxa"/>
            <w:tcBorders>
              <w:top w:val="single" w:sz="4" w:space="0" w:color="999999"/>
              <w:left w:val="single" w:sz="4" w:space="0" w:color="999999"/>
              <w:bottom w:val="single" w:sz="4" w:space="0" w:color="999999"/>
              <w:right w:val="single" w:sz="4" w:space="0" w:color="999999"/>
            </w:tcBorders>
            <w:noWrap/>
            <w:hideMark/>
          </w:tcPr>
          <w:p w14:paraId="4808B892"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1BE4FD89"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64D95641" w14:textId="77777777" w:rsidR="00782716" w:rsidRPr="004D76B0" w:rsidRDefault="00782716">
            <w:pPr>
              <w:pStyle w:val="TableText"/>
              <w:rPr>
                <w:rFonts w:ascii="Garamond" w:hAnsi="Garamond"/>
                <w:sz w:val="20"/>
                <w:szCs w:val="22"/>
              </w:rPr>
            </w:pPr>
            <w:r w:rsidRPr="004D76B0">
              <w:rPr>
                <w:rFonts w:ascii="Garamond" w:hAnsi="Garamond"/>
                <w:b w:val="0"/>
                <w:sz w:val="20"/>
              </w:rPr>
              <w:t xml:space="preserve">SPSA / </w:t>
            </w:r>
            <w:proofErr w:type="spellStart"/>
            <w:r w:rsidRPr="004D76B0">
              <w:rPr>
                <w:rFonts w:ascii="Garamond" w:hAnsi="Garamond"/>
                <w:b w:val="0"/>
                <w:sz w:val="20"/>
              </w:rPr>
              <w:t>Landstown</w:t>
            </w:r>
            <w:proofErr w:type="spellEnd"/>
            <w:r w:rsidRPr="004D76B0">
              <w:rPr>
                <w:rFonts w:ascii="Garamond" w:hAnsi="Garamond"/>
                <w:b w:val="0"/>
                <w:sz w:val="20"/>
              </w:rPr>
              <w:t xml:space="preserve"> Transfer Station</w:t>
            </w:r>
          </w:p>
        </w:tc>
        <w:tc>
          <w:tcPr>
            <w:tcW w:w="5220" w:type="dxa"/>
            <w:tcBorders>
              <w:top w:val="single" w:sz="4" w:space="0" w:color="999999"/>
              <w:left w:val="single" w:sz="4" w:space="0" w:color="999999"/>
              <w:bottom w:val="single" w:sz="4" w:space="0" w:color="999999"/>
              <w:right w:val="single" w:sz="4" w:space="0" w:color="999999"/>
            </w:tcBorders>
            <w:noWrap/>
            <w:hideMark/>
          </w:tcPr>
          <w:p w14:paraId="00CEE2F2"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r w:rsidR="00782716" w14:paraId="7462E8EE" w14:textId="77777777" w:rsidTr="004D76B0">
        <w:trPr>
          <w:trHeight w:val="70"/>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999999"/>
              <w:left w:val="single" w:sz="4" w:space="0" w:color="999999"/>
              <w:bottom w:val="single" w:sz="4" w:space="0" w:color="999999"/>
              <w:right w:val="single" w:sz="4" w:space="0" w:color="999999"/>
            </w:tcBorders>
            <w:noWrap/>
            <w:hideMark/>
          </w:tcPr>
          <w:p w14:paraId="3ADF3D46" w14:textId="77777777" w:rsidR="00782716" w:rsidRPr="004D76B0" w:rsidRDefault="00782716">
            <w:pPr>
              <w:pStyle w:val="TableText"/>
              <w:rPr>
                <w:rFonts w:ascii="Garamond" w:hAnsi="Garamond"/>
                <w:sz w:val="20"/>
                <w:szCs w:val="22"/>
              </w:rPr>
            </w:pPr>
            <w:r w:rsidRPr="004D76B0">
              <w:rPr>
                <w:rFonts w:ascii="Garamond" w:hAnsi="Garamond"/>
                <w:b w:val="0"/>
                <w:sz w:val="20"/>
              </w:rPr>
              <w:t>VPPSA - King William County Transfer Station</w:t>
            </w:r>
          </w:p>
        </w:tc>
        <w:tc>
          <w:tcPr>
            <w:tcW w:w="5220" w:type="dxa"/>
            <w:tcBorders>
              <w:top w:val="single" w:sz="4" w:space="0" w:color="999999"/>
              <w:left w:val="single" w:sz="4" w:space="0" w:color="999999"/>
              <w:bottom w:val="single" w:sz="4" w:space="0" w:color="999999"/>
              <w:right w:val="single" w:sz="4" w:space="0" w:color="999999"/>
            </w:tcBorders>
            <w:noWrap/>
            <w:hideMark/>
          </w:tcPr>
          <w:p w14:paraId="213E76DE" w14:textId="77777777" w:rsidR="00782716" w:rsidRPr="004D76B0" w:rsidRDefault="00782716">
            <w:pPr>
              <w:pStyle w:val="TableText"/>
              <w:cnfStyle w:val="000000000000" w:firstRow="0" w:lastRow="0" w:firstColumn="0" w:lastColumn="0" w:oddVBand="0" w:evenVBand="0" w:oddHBand="0" w:evenHBand="0" w:firstRowFirstColumn="0" w:firstRowLastColumn="0" w:lastRowFirstColumn="0" w:lastRowLastColumn="0"/>
              <w:rPr>
                <w:rFonts w:ascii="Garamond" w:hAnsi="Garamond"/>
                <w:sz w:val="20"/>
                <w:szCs w:val="22"/>
              </w:rPr>
            </w:pPr>
            <w:r w:rsidRPr="004D76B0">
              <w:rPr>
                <w:rFonts w:ascii="Garamond" w:hAnsi="Garamond"/>
                <w:sz w:val="20"/>
              </w:rPr>
              <w:t>Transfer Station</w:t>
            </w:r>
          </w:p>
        </w:tc>
      </w:tr>
    </w:tbl>
    <w:p w14:paraId="306E1EA2" w14:textId="77777777" w:rsidR="00782716" w:rsidRPr="00AD5FB7" w:rsidRDefault="00782716" w:rsidP="00AD5FB7">
      <w:pPr>
        <w:pStyle w:val="FigureCaption"/>
        <w:spacing w:before="120"/>
        <w:rPr>
          <w:rFonts w:ascii="Garamond" w:hAnsi="Garamond"/>
          <w:i w:val="0"/>
          <w:iCs w:val="0"/>
          <w:color w:val="auto"/>
          <w:sz w:val="24"/>
          <w:szCs w:val="24"/>
        </w:rPr>
      </w:pPr>
    </w:p>
    <w:p w14:paraId="0B99ECFE" w14:textId="77777777" w:rsidR="00F52093" w:rsidRDefault="00A062A7" w:rsidP="00845DFC">
      <w:r>
        <w:rPr>
          <w:noProof/>
        </w:rPr>
        <w:lastRenderedPageBreak/>
        <w:drawing>
          <wp:inline distT="0" distB="0" distL="0" distR="0" wp14:anchorId="54198291" wp14:editId="6E7811C7">
            <wp:extent cx="5486599" cy="6124575"/>
            <wp:effectExtent l="0" t="0" r="0" b="0"/>
            <wp:docPr id="4" name="Picture 4" descr="cid:image002.jpg@01D2FB22.2215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2FB22.2215F5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05522" cy="6145698"/>
                    </a:xfrm>
                    <a:prstGeom prst="rect">
                      <a:avLst/>
                    </a:prstGeom>
                    <a:noFill/>
                    <a:ln>
                      <a:noFill/>
                    </a:ln>
                  </pic:spPr>
                </pic:pic>
              </a:graphicData>
            </a:graphic>
          </wp:inline>
        </w:drawing>
      </w:r>
    </w:p>
    <w:p w14:paraId="2B259255" w14:textId="4334FFC1" w:rsidR="00F52093" w:rsidRPr="004D76B0" w:rsidRDefault="004D76B0" w:rsidP="00AD5FB7">
      <w:pPr>
        <w:pStyle w:val="FigureCaption"/>
        <w:spacing w:before="120"/>
        <w:rPr>
          <w:rFonts w:ascii="Garamond" w:hAnsi="Garamond"/>
          <w:i w:val="0"/>
          <w:iCs w:val="0"/>
          <w:color w:val="auto"/>
          <w:sz w:val="22"/>
          <w:szCs w:val="24"/>
        </w:rPr>
      </w:pPr>
      <w:r w:rsidRPr="004D76B0">
        <w:rPr>
          <w:rStyle w:val="IntenseReference"/>
          <w:rFonts w:ascii="Garamond" w:hAnsi="Garamond"/>
          <w:i w:val="0"/>
          <w:sz w:val="22"/>
          <w:szCs w:val="22"/>
        </w:rPr>
        <w:t xml:space="preserve">Figure </w:t>
      </w:r>
      <w:r w:rsidR="00E1396E">
        <w:rPr>
          <w:rStyle w:val="IntenseReference"/>
          <w:rFonts w:ascii="Garamond" w:hAnsi="Garamond"/>
          <w:i w:val="0"/>
          <w:sz w:val="22"/>
          <w:szCs w:val="22"/>
        </w:rPr>
        <w:t>8</w:t>
      </w:r>
      <w:r w:rsidR="00AD5FB7" w:rsidRPr="004D76B0">
        <w:rPr>
          <w:rFonts w:ascii="Garamond" w:hAnsi="Garamond"/>
          <w:i w:val="0"/>
          <w:iCs w:val="0"/>
          <w:color w:val="auto"/>
          <w:sz w:val="22"/>
          <w:szCs w:val="24"/>
        </w:rPr>
        <w:t>.</w:t>
      </w:r>
      <w:r w:rsidRPr="004D76B0">
        <w:rPr>
          <w:rFonts w:ascii="Garamond" w:hAnsi="Garamond"/>
          <w:i w:val="0"/>
          <w:iCs w:val="0"/>
          <w:color w:val="auto"/>
          <w:sz w:val="22"/>
          <w:szCs w:val="24"/>
        </w:rPr>
        <w:t xml:space="preserve"> </w:t>
      </w:r>
      <w:r>
        <w:rPr>
          <w:rFonts w:ascii="Garamond" w:hAnsi="Garamond"/>
          <w:i w:val="0"/>
          <w:iCs w:val="0"/>
          <w:color w:val="auto"/>
          <w:sz w:val="22"/>
          <w:szCs w:val="24"/>
        </w:rPr>
        <w:t>Map</w:t>
      </w:r>
      <w:r w:rsidRPr="00605A9D">
        <w:rPr>
          <w:rFonts w:ascii="Garamond" w:hAnsi="Garamond"/>
          <w:i w:val="0"/>
          <w:iCs w:val="0"/>
          <w:color w:val="auto"/>
          <w:sz w:val="22"/>
          <w:szCs w:val="24"/>
        </w:rPr>
        <w:t xml:space="preserve"> of Waste Facilities in the Norfolk, VA Region from I-WASTE</w:t>
      </w:r>
      <w:r>
        <w:rPr>
          <w:rFonts w:ascii="Garamond" w:hAnsi="Garamond"/>
          <w:i w:val="0"/>
          <w:iCs w:val="0"/>
          <w:color w:val="auto"/>
          <w:sz w:val="22"/>
          <w:szCs w:val="24"/>
        </w:rPr>
        <w:t>.</w:t>
      </w:r>
    </w:p>
    <w:p w14:paraId="5B6B9A59" w14:textId="77777777" w:rsidR="00A062A7" w:rsidRDefault="00A062A7" w:rsidP="00845DFC">
      <w:r>
        <w:rPr>
          <w:noProof/>
        </w:rPr>
        <w:lastRenderedPageBreak/>
        <w:drawing>
          <wp:inline distT="0" distB="0" distL="0" distR="0" wp14:anchorId="74EB6123" wp14:editId="04FA7A6C">
            <wp:extent cx="5943600" cy="4549230"/>
            <wp:effectExtent l="0" t="0" r="0" b="3810"/>
            <wp:docPr id="5" name="Picture 5" descr="cid:image004.jpg@01D2FB22.2215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id:image004.jpg@01D2FB22.2215F5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4549230"/>
                    </a:xfrm>
                    <a:prstGeom prst="rect">
                      <a:avLst/>
                    </a:prstGeom>
                    <a:noFill/>
                    <a:ln>
                      <a:noFill/>
                    </a:ln>
                  </pic:spPr>
                </pic:pic>
              </a:graphicData>
            </a:graphic>
          </wp:inline>
        </w:drawing>
      </w:r>
    </w:p>
    <w:p w14:paraId="7E8518AF" w14:textId="77777777" w:rsidR="00E263C8" w:rsidRDefault="00E263C8" w:rsidP="003F07C4">
      <w:pPr>
        <w:pStyle w:val="FigureCaption"/>
        <w:spacing w:before="120"/>
        <w:rPr>
          <w:rStyle w:val="IntenseReference"/>
          <w:rFonts w:ascii="Garamond" w:hAnsi="Garamond"/>
          <w:i w:val="0"/>
          <w:sz w:val="22"/>
          <w:szCs w:val="22"/>
        </w:rPr>
      </w:pPr>
      <w:r w:rsidRPr="00E263C8">
        <w:rPr>
          <w:noProof/>
        </w:rPr>
        <w:drawing>
          <wp:inline distT="0" distB="0" distL="0" distR="0" wp14:anchorId="3222E0AF" wp14:editId="1980D557">
            <wp:extent cx="2830790" cy="20097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081" cy="2019211"/>
                    </a:xfrm>
                    <a:prstGeom prst="rect">
                      <a:avLst/>
                    </a:prstGeom>
                  </pic:spPr>
                </pic:pic>
              </a:graphicData>
            </a:graphic>
          </wp:inline>
        </w:drawing>
      </w:r>
    </w:p>
    <w:p w14:paraId="6430CFFB" w14:textId="760D7BAF" w:rsidR="0009715B" w:rsidRDefault="003F07C4" w:rsidP="00D47C59">
      <w:pPr>
        <w:pStyle w:val="FigureCaption"/>
        <w:spacing w:before="120"/>
      </w:pPr>
      <w:r>
        <w:rPr>
          <w:rStyle w:val="IntenseReference"/>
          <w:rFonts w:ascii="Garamond" w:hAnsi="Garamond"/>
          <w:i w:val="0"/>
          <w:sz w:val="22"/>
          <w:szCs w:val="22"/>
        </w:rPr>
        <w:t xml:space="preserve">Figure </w:t>
      </w:r>
      <w:r w:rsidR="00D47C59">
        <w:rPr>
          <w:rStyle w:val="IntenseReference"/>
          <w:rFonts w:ascii="Garamond" w:hAnsi="Garamond"/>
          <w:i w:val="0"/>
          <w:sz w:val="22"/>
          <w:szCs w:val="22"/>
        </w:rPr>
        <w:t>9</w:t>
      </w:r>
      <w:r>
        <w:rPr>
          <w:rStyle w:val="IntenseReference"/>
          <w:rFonts w:ascii="Garamond" w:hAnsi="Garamond"/>
          <w:i w:val="0"/>
          <w:sz w:val="22"/>
          <w:szCs w:val="22"/>
        </w:rPr>
        <w:t>.</w:t>
      </w:r>
      <w:r w:rsidRPr="004D76B0">
        <w:rPr>
          <w:rFonts w:ascii="Garamond" w:hAnsi="Garamond"/>
          <w:i w:val="0"/>
          <w:iCs w:val="0"/>
          <w:color w:val="auto"/>
          <w:sz w:val="22"/>
          <w:szCs w:val="24"/>
        </w:rPr>
        <w:t xml:space="preserve"> </w:t>
      </w:r>
      <w:r>
        <w:rPr>
          <w:rFonts w:ascii="Garamond" w:hAnsi="Garamond"/>
          <w:i w:val="0"/>
          <w:iCs w:val="0"/>
          <w:color w:val="auto"/>
          <w:sz w:val="22"/>
          <w:szCs w:val="24"/>
        </w:rPr>
        <w:t>Overlap</w:t>
      </w:r>
      <w:r w:rsidRPr="00605A9D">
        <w:rPr>
          <w:rFonts w:ascii="Garamond" w:hAnsi="Garamond"/>
          <w:i w:val="0"/>
          <w:iCs w:val="0"/>
          <w:color w:val="auto"/>
          <w:sz w:val="22"/>
          <w:szCs w:val="24"/>
        </w:rPr>
        <w:t xml:space="preserve"> of Waste Facilities in the Norfolk, VA Region from I-WASTE</w:t>
      </w:r>
      <w:r>
        <w:rPr>
          <w:rFonts w:ascii="Garamond" w:hAnsi="Garamond"/>
          <w:i w:val="0"/>
          <w:iCs w:val="0"/>
          <w:color w:val="auto"/>
          <w:sz w:val="22"/>
          <w:szCs w:val="24"/>
        </w:rPr>
        <w:t xml:space="preserve"> with Hurricane Storm Surge Categories</w:t>
      </w:r>
      <w:r w:rsidR="006268CC">
        <w:rPr>
          <w:rFonts w:ascii="Garamond" w:hAnsi="Garamond"/>
          <w:i w:val="0"/>
          <w:iCs w:val="0"/>
          <w:color w:val="auto"/>
          <w:sz w:val="22"/>
          <w:szCs w:val="24"/>
        </w:rPr>
        <w:t xml:space="preserve"> (from the Virginia Storm Surge Tool, </w:t>
      </w:r>
      <w:hyperlink r:id="rId22" w:history="1">
        <w:r w:rsidR="006268CC" w:rsidRPr="00A0724C">
          <w:rPr>
            <w:rStyle w:val="Hyperlink"/>
            <w:rFonts w:ascii="Garamond" w:hAnsi="Garamond"/>
            <w:i w:val="0"/>
            <w:iCs w:val="0"/>
            <w:sz w:val="22"/>
            <w:szCs w:val="24"/>
          </w:rPr>
          <w:t>http://www.vaemergency.gov/prepare-recover/threats/hurricane-storm-surge-maps/</w:t>
        </w:r>
      </w:hyperlink>
      <w:r w:rsidR="006268CC">
        <w:rPr>
          <w:rFonts w:ascii="Garamond" w:hAnsi="Garamond"/>
          <w:i w:val="0"/>
          <w:iCs w:val="0"/>
          <w:color w:val="auto"/>
          <w:sz w:val="22"/>
          <w:szCs w:val="24"/>
        </w:rPr>
        <w:t>)</w:t>
      </w:r>
      <w:r>
        <w:rPr>
          <w:rFonts w:ascii="Garamond" w:hAnsi="Garamond"/>
          <w:i w:val="0"/>
          <w:iCs w:val="0"/>
          <w:color w:val="auto"/>
          <w:sz w:val="22"/>
          <w:szCs w:val="24"/>
        </w:rPr>
        <w:t>.</w:t>
      </w:r>
      <w:r w:rsidR="00BD4B52">
        <w:rPr>
          <w:rFonts w:ascii="Garamond" w:hAnsi="Garamond"/>
          <w:i w:val="0"/>
          <w:iCs w:val="0"/>
          <w:color w:val="auto"/>
          <w:sz w:val="22"/>
          <w:szCs w:val="24"/>
        </w:rPr>
        <w:t xml:space="preserve"> </w:t>
      </w:r>
      <w:r w:rsidR="00BD4B52" w:rsidRPr="00BD4B52">
        <w:rPr>
          <w:rFonts w:ascii="Garamond" w:hAnsi="Garamond"/>
          <w:i w:val="0"/>
          <w:iCs w:val="0"/>
          <w:color w:val="auto"/>
          <w:sz w:val="22"/>
          <w:szCs w:val="24"/>
        </w:rPr>
        <w:t>From the Virginia Storm Surge Tool website – ‘“Storm surge” is an abnormal and potentially dangerous rise of water pushed to the shore by strong winds from a hurricane or tropical storm.  It is also the main reason that evacuations are ordered. The storm surge zones of this map indicate the maximum area that may be inundated by a hurricane of a given value. This map is provided by the Virginia Department of Emergency Management</w:t>
      </w:r>
      <w:r w:rsidR="00D47C59">
        <w:rPr>
          <w:rFonts w:ascii="Garamond" w:hAnsi="Garamond"/>
          <w:i w:val="0"/>
          <w:iCs w:val="0"/>
          <w:color w:val="auto"/>
          <w:sz w:val="22"/>
          <w:szCs w:val="24"/>
        </w:rPr>
        <w:t xml:space="preserve"> (VDEM).</w:t>
      </w:r>
    </w:p>
    <w:p w14:paraId="1F00B19B" w14:textId="77777777" w:rsidR="0009715B" w:rsidRDefault="0009715B" w:rsidP="0009715B"/>
    <w:p w14:paraId="11297F61" w14:textId="77777777" w:rsidR="0009715B" w:rsidRPr="0009715B" w:rsidRDefault="0009715B" w:rsidP="0009715B">
      <w:pPr>
        <w:sectPr w:rsidR="0009715B" w:rsidRPr="0009715B" w:rsidSect="00CD2D64">
          <w:headerReference w:type="default" r:id="rId23"/>
          <w:footerReference w:type="default" r:id="rId24"/>
          <w:pgSz w:w="12240" w:h="15840"/>
          <w:pgMar w:top="1440" w:right="1440" w:bottom="1440" w:left="1440" w:header="720" w:footer="720" w:gutter="0"/>
          <w:cols w:space="720"/>
          <w:docGrid w:linePitch="360"/>
        </w:sectPr>
      </w:pPr>
    </w:p>
    <w:p w14:paraId="72374A6B" w14:textId="4A21C864" w:rsidR="00FE71D1" w:rsidRPr="003B52D4" w:rsidRDefault="00FE71D1" w:rsidP="0068263E">
      <w:pPr>
        <w:pStyle w:val="Heading1"/>
        <w:rPr>
          <w:iCs/>
        </w:rPr>
      </w:pPr>
      <w:r>
        <w:lastRenderedPageBreak/>
        <w:t>References</w:t>
      </w:r>
    </w:p>
    <w:p w14:paraId="5D2F1E6E" w14:textId="6F73420E" w:rsidR="0021354F" w:rsidRDefault="0021354F" w:rsidP="0021354F">
      <w:pPr>
        <w:pStyle w:val="FigureCaption"/>
        <w:spacing w:before="120"/>
        <w:ind w:left="432" w:hanging="432"/>
        <w:rPr>
          <w:rFonts w:ascii="Garamond" w:hAnsi="Garamond"/>
          <w:i w:val="0"/>
          <w:color w:val="000000" w:themeColor="text1"/>
          <w:sz w:val="24"/>
          <w:szCs w:val="24"/>
        </w:rPr>
      </w:pPr>
      <w:r w:rsidRPr="0021354F">
        <w:rPr>
          <w:rFonts w:ascii="Garamond" w:hAnsi="Garamond"/>
          <w:i w:val="0"/>
          <w:color w:val="000000" w:themeColor="text1"/>
          <w:sz w:val="24"/>
          <w:szCs w:val="24"/>
        </w:rPr>
        <w:t>Haywood, H. C. and C. Buchanan. 2007. Total maximum daily loads of polychlorinated biphenyls (PCBs) for tidal</w:t>
      </w:r>
      <w:r>
        <w:rPr>
          <w:rFonts w:ascii="Garamond" w:hAnsi="Garamond"/>
          <w:i w:val="0"/>
          <w:color w:val="000000" w:themeColor="text1"/>
          <w:sz w:val="24"/>
          <w:szCs w:val="24"/>
        </w:rPr>
        <w:t xml:space="preserve"> </w:t>
      </w:r>
      <w:r w:rsidRPr="0021354F">
        <w:rPr>
          <w:rFonts w:ascii="Garamond" w:hAnsi="Garamond"/>
          <w:i w:val="0"/>
          <w:color w:val="000000" w:themeColor="text1"/>
          <w:sz w:val="24"/>
          <w:szCs w:val="24"/>
        </w:rPr>
        <w:t>portions of the Potomac and Anacostia rivers in the District of Columbia, Maryland, and Virginia. Interstate</w:t>
      </w:r>
      <w:r>
        <w:rPr>
          <w:rFonts w:ascii="Garamond" w:hAnsi="Garamond"/>
          <w:i w:val="0"/>
          <w:color w:val="000000" w:themeColor="text1"/>
          <w:sz w:val="24"/>
          <w:szCs w:val="24"/>
        </w:rPr>
        <w:t xml:space="preserve"> </w:t>
      </w:r>
      <w:r w:rsidRPr="0021354F">
        <w:rPr>
          <w:rFonts w:ascii="Garamond" w:hAnsi="Garamond"/>
          <w:i w:val="0"/>
          <w:color w:val="000000" w:themeColor="text1"/>
          <w:sz w:val="24"/>
          <w:szCs w:val="24"/>
        </w:rPr>
        <w:t xml:space="preserve">Commission on the Potomac River Basin. ICPRB Report 07-7. Rockville, MD. </w:t>
      </w:r>
    </w:p>
    <w:p w14:paraId="44E7DF1A" w14:textId="3213F07C" w:rsidR="00607CBE" w:rsidRDefault="00607CBE" w:rsidP="008D6B40">
      <w:pPr>
        <w:pStyle w:val="FigureCaption"/>
        <w:spacing w:before="120"/>
        <w:ind w:left="432" w:hanging="432"/>
        <w:rPr>
          <w:rFonts w:ascii="Garamond" w:hAnsi="Garamond"/>
          <w:i w:val="0"/>
          <w:color w:val="000000" w:themeColor="text1"/>
          <w:sz w:val="24"/>
          <w:szCs w:val="24"/>
        </w:rPr>
      </w:pPr>
      <w:r>
        <w:rPr>
          <w:rFonts w:ascii="Garamond" w:hAnsi="Garamond"/>
          <w:i w:val="0"/>
          <w:color w:val="000000" w:themeColor="text1"/>
          <w:sz w:val="24"/>
          <w:szCs w:val="24"/>
        </w:rPr>
        <w:t xml:space="preserve">Strauss, </w:t>
      </w:r>
      <w:r w:rsidR="00E44DC7">
        <w:rPr>
          <w:rFonts w:ascii="Garamond" w:hAnsi="Garamond"/>
          <w:i w:val="0"/>
          <w:color w:val="000000" w:themeColor="text1"/>
          <w:sz w:val="24"/>
          <w:szCs w:val="24"/>
        </w:rPr>
        <w:t xml:space="preserve">B., C. Tebaldi, S. </w:t>
      </w:r>
      <w:proofErr w:type="spellStart"/>
      <w:r w:rsidR="00E44DC7">
        <w:rPr>
          <w:rFonts w:ascii="Garamond" w:hAnsi="Garamond"/>
          <w:i w:val="0"/>
          <w:color w:val="000000" w:themeColor="text1"/>
          <w:sz w:val="24"/>
          <w:szCs w:val="24"/>
        </w:rPr>
        <w:t>Kulp</w:t>
      </w:r>
      <w:proofErr w:type="spellEnd"/>
      <w:r w:rsidR="00CB7248">
        <w:rPr>
          <w:rFonts w:ascii="Garamond" w:hAnsi="Garamond"/>
          <w:i w:val="0"/>
          <w:color w:val="000000" w:themeColor="text1"/>
          <w:sz w:val="24"/>
          <w:szCs w:val="24"/>
        </w:rPr>
        <w:t xml:space="preserve">, </w:t>
      </w:r>
      <w:r w:rsidR="00CB7248" w:rsidRPr="00CB7248">
        <w:rPr>
          <w:rFonts w:ascii="Garamond" w:hAnsi="Garamond"/>
          <w:i w:val="0"/>
          <w:color w:val="000000" w:themeColor="text1"/>
          <w:sz w:val="24"/>
          <w:szCs w:val="24"/>
        </w:rPr>
        <w:t xml:space="preserve">S. Cutter, C. </w:t>
      </w:r>
      <w:proofErr w:type="spellStart"/>
      <w:r w:rsidR="00CB7248" w:rsidRPr="00CB7248">
        <w:rPr>
          <w:rFonts w:ascii="Garamond" w:hAnsi="Garamond"/>
          <w:i w:val="0"/>
          <w:color w:val="000000" w:themeColor="text1"/>
          <w:sz w:val="24"/>
          <w:szCs w:val="24"/>
        </w:rPr>
        <w:t>Emrich</w:t>
      </w:r>
      <w:proofErr w:type="spellEnd"/>
      <w:r w:rsidR="00CB7248" w:rsidRPr="00CB7248">
        <w:rPr>
          <w:rFonts w:ascii="Garamond" w:hAnsi="Garamond"/>
          <w:i w:val="0"/>
          <w:color w:val="000000" w:themeColor="text1"/>
          <w:sz w:val="24"/>
          <w:szCs w:val="24"/>
        </w:rPr>
        <w:t xml:space="preserve">, D. Rizza, and D. </w:t>
      </w:r>
      <w:proofErr w:type="spellStart"/>
      <w:r w:rsidR="00CB7248" w:rsidRPr="00CB7248">
        <w:rPr>
          <w:rFonts w:ascii="Garamond" w:hAnsi="Garamond"/>
          <w:i w:val="0"/>
          <w:color w:val="000000" w:themeColor="text1"/>
          <w:sz w:val="24"/>
          <w:szCs w:val="24"/>
        </w:rPr>
        <w:t>Yawitz</w:t>
      </w:r>
      <w:proofErr w:type="spellEnd"/>
      <w:r>
        <w:rPr>
          <w:rFonts w:ascii="Garamond" w:hAnsi="Garamond"/>
          <w:i w:val="0"/>
          <w:color w:val="000000" w:themeColor="text1"/>
          <w:sz w:val="24"/>
          <w:szCs w:val="24"/>
        </w:rPr>
        <w:t xml:space="preserve">. 2014. </w:t>
      </w:r>
      <w:r w:rsidR="008D6B40" w:rsidRPr="008D6B40">
        <w:rPr>
          <w:rFonts w:ascii="Garamond" w:hAnsi="Garamond"/>
          <w:i w:val="0"/>
          <w:color w:val="000000" w:themeColor="text1"/>
          <w:sz w:val="24"/>
          <w:szCs w:val="24"/>
        </w:rPr>
        <w:t>V</w:t>
      </w:r>
      <w:r w:rsidR="008D6B40">
        <w:rPr>
          <w:rFonts w:ascii="Garamond" w:hAnsi="Garamond"/>
          <w:i w:val="0"/>
          <w:color w:val="000000" w:themeColor="text1"/>
          <w:sz w:val="24"/>
          <w:szCs w:val="24"/>
        </w:rPr>
        <w:t xml:space="preserve">irginia and the Surging Sea: A Vulnerability Assessment with Projections for Sea Level Rise and Coastal Flood Risk. </w:t>
      </w:r>
      <w:r w:rsidR="00CB7248" w:rsidRPr="00CB7248">
        <w:rPr>
          <w:rFonts w:ascii="Garamond" w:hAnsi="Garamond"/>
          <w:i w:val="0"/>
          <w:color w:val="000000" w:themeColor="text1"/>
          <w:sz w:val="24"/>
          <w:szCs w:val="24"/>
        </w:rPr>
        <w:t>Climate Central Research Report</w:t>
      </w:r>
      <w:r w:rsidR="00CB7248">
        <w:rPr>
          <w:rFonts w:ascii="Garamond" w:hAnsi="Garamond"/>
          <w:i w:val="0"/>
          <w:color w:val="000000" w:themeColor="text1"/>
          <w:sz w:val="24"/>
          <w:szCs w:val="24"/>
        </w:rPr>
        <w:t xml:space="preserve">. 31 pp. </w:t>
      </w:r>
      <w:r w:rsidR="00E44DC7">
        <w:rPr>
          <w:rFonts w:ascii="Garamond" w:hAnsi="Garamond"/>
          <w:i w:val="0"/>
          <w:color w:val="000000" w:themeColor="text1"/>
          <w:sz w:val="24"/>
          <w:szCs w:val="24"/>
        </w:rPr>
        <w:t>www.climatecentral.org</w:t>
      </w:r>
      <w:r w:rsidR="00CB7248">
        <w:rPr>
          <w:rFonts w:ascii="Garamond" w:hAnsi="Garamond"/>
          <w:i w:val="0"/>
          <w:color w:val="000000" w:themeColor="text1"/>
          <w:sz w:val="24"/>
          <w:szCs w:val="24"/>
        </w:rPr>
        <w:t>.</w:t>
      </w:r>
    </w:p>
    <w:p w14:paraId="0225BE66" w14:textId="591181E7" w:rsidR="001E2BA2" w:rsidRPr="0068263E" w:rsidRDefault="001E2BA2" w:rsidP="001E2BA2">
      <w:pPr>
        <w:pStyle w:val="FigureCaption"/>
        <w:spacing w:before="120"/>
        <w:ind w:left="432" w:hanging="432"/>
        <w:rPr>
          <w:rFonts w:ascii="Garamond" w:hAnsi="Garamond"/>
          <w:i w:val="0"/>
          <w:iCs w:val="0"/>
          <w:color w:val="000000" w:themeColor="text1"/>
          <w:sz w:val="24"/>
          <w:szCs w:val="24"/>
        </w:rPr>
      </w:pPr>
      <w:r>
        <w:rPr>
          <w:rFonts w:ascii="Garamond" w:hAnsi="Garamond"/>
          <w:i w:val="0"/>
          <w:color w:val="000000" w:themeColor="text1"/>
          <w:sz w:val="24"/>
          <w:szCs w:val="24"/>
        </w:rPr>
        <w:t xml:space="preserve">Tetra Tech. 2015. </w:t>
      </w:r>
      <w:r w:rsidRPr="001E2BA2">
        <w:rPr>
          <w:rFonts w:ascii="Garamond" w:hAnsi="Garamond"/>
          <w:i w:val="0"/>
          <w:color w:val="000000" w:themeColor="text1"/>
          <w:sz w:val="24"/>
          <w:szCs w:val="24"/>
        </w:rPr>
        <w:t>EPA Region 10 Climate Change and TMDL Pilot</w:t>
      </w:r>
      <w:r>
        <w:rPr>
          <w:rFonts w:ascii="Garamond" w:hAnsi="Garamond"/>
          <w:i w:val="0"/>
          <w:color w:val="000000" w:themeColor="text1"/>
          <w:sz w:val="24"/>
          <w:szCs w:val="24"/>
        </w:rPr>
        <w:t xml:space="preserve"> </w:t>
      </w:r>
      <w:r w:rsidRPr="001E2BA2">
        <w:rPr>
          <w:rFonts w:ascii="Garamond" w:hAnsi="Garamond"/>
          <w:i w:val="0"/>
          <w:color w:val="000000" w:themeColor="text1"/>
          <w:sz w:val="24"/>
          <w:szCs w:val="24"/>
        </w:rPr>
        <w:t>Process Roadmap: Conceptual Framework and Procedures</w:t>
      </w:r>
      <w:r>
        <w:rPr>
          <w:rFonts w:ascii="Garamond" w:hAnsi="Garamond"/>
          <w:i w:val="0"/>
          <w:color w:val="000000" w:themeColor="text1"/>
          <w:sz w:val="24"/>
          <w:szCs w:val="24"/>
        </w:rPr>
        <w:t>. 13 pp.</w:t>
      </w:r>
    </w:p>
    <w:p w14:paraId="52BE3712" w14:textId="77777777" w:rsidR="00D43FAA" w:rsidRPr="00AD5FB7" w:rsidRDefault="00D43FAA" w:rsidP="00AD5FB7">
      <w:pPr>
        <w:pStyle w:val="FigureCaption"/>
        <w:spacing w:before="120"/>
        <w:rPr>
          <w:rFonts w:ascii="Garamond" w:hAnsi="Garamond"/>
          <w:i w:val="0"/>
          <w:iCs w:val="0"/>
          <w:color w:val="auto"/>
          <w:sz w:val="24"/>
          <w:szCs w:val="24"/>
        </w:rPr>
      </w:pPr>
    </w:p>
    <w:sectPr w:rsidR="00D43FAA" w:rsidRPr="00AD5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71300" w14:textId="77777777" w:rsidR="00B12E9E" w:rsidRDefault="00B12E9E" w:rsidP="00356F4C">
      <w:pPr>
        <w:spacing w:after="0" w:line="240" w:lineRule="auto"/>
      </w:pPr>
      <w:r>
        <w:separator/>
      </w:r>
    </w:p>
  </w:endnote>
  <w:endnote w:type="continuationSeparator" w:id="0">
    <w:p w14:paraId="0D61FC88" w14:textId="77777777" w:rsidR="00B12E9E" w:rsidRDefault="00B12E9E" w:rsidP="00356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210019"/>
      <w:docPartObj>
        <w:docPartGallery w:val="Page Numbers (Bottom of Page)"/>
        <w:docPartUnique/>
      </w:docPartObj>
    </w:sdtPr>
    <w:sdtEndPr>
      <w:rPr>
        <w:noProof/>
      </w:rPr>
    </w:sdtEndPr>
    <w:sdtContent>
      <w:p w14:paraId="092614F2" w14:textId="37D92A60" w:rsidR="00A02F85" w:rsidRDefault="00A02F85" w:rsidP="00A02F85">
        <w:pPr>
          <w:pStyle w:val="Footer"/>
          <w:jc w:val="right"/>
        </w:pPr>
        <w:r>
          <w:fldChar w:fldCharType="begin"/>
        </w:r>
        <w:r>
          <w:instrText xml:space="preserve"> PAGE   \* MERGEFORMAT </w:instrText>
        </w:r>
        <w:r>
          <w:fldChar w:fldCharType="separate"/>
        </w:r>
        <w:r w:rsidR="00F325CB">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F3215" w14:textId="77777777" w:rsidR="00B12E9E" w:rsidRDefault="00B12E9E" w:rsidP="00356F4C">
      <w:pPr>
        <w:spacing w:after="0" w:line="240" w:lineRule="auto"/>
      </w:pPr>
      <w:r>
        <w:separator/>
      </w:r>
    </w:p>
  </w:footnote>
  <w:footnote w:type="continuationSeparator" w:id="0">
    <w:p w14:paraId="770A6BBD" w14:textId="77777777" w:rsidR="00B12E9E" w:rsidRDefault="00B12E9E" w:rsidP="00356F4C">
      <w:pPr>
        <w:spacing w:after="0" w:line="240" w:lineRule="auto"/>
      </w:pPr>
      <w:r>
        <w:continuationSeparator/>
      </w:r>
    </w:p>
  </w:footnote>
  <w:footnote w:id="1">
    <w:p w14:paraId="79B320C4" w14:textId="2855FCE4" w:rsidR="003B5403" w:rsidRDefault="003B5403">
      <w:pPr>
        <w:pStyle w:val="FootnoteText"/>
      </w:pPr>
      <w:r>
        <w:rPr>
          <w:rStyle w:val="FootnoteReference"/>
        </w:rPr>
        <w:footnoteRef/>
      </w:r>
      <w:r>
        <w:t xml:space="preserve"> Example management activities are grounded in Toxic Contaminants Workgroup approaches (e.g., linking with the TMDL process, an initial focus on PCBs), and the background information presented represents this factual basis. But any specific projects or actions presented are examples only, not actually being considered or recommended.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61A8" w14:textId="5472C59D" w:rsidR="00A02F85" w:rsidRDefault="00A02F85">
    <w:pPr>
      <w:pStyle w:val="Header"/>
    </w:pPr>
    <w:r>
      <w:rPr>
        <w:noProof/>
      </w:rPr>
      <mc:AlternateContent>
        <mc:Choice Requires="wps">
          <w:drawing>
            <wp:anchor distT="0" distB="0" distL="118745" distR="118745" simplePos="0" relativeHeight="251659264" behindDoc="1" locked="0" layoutInCell="1" allowOverlap="0" wp14:anchorId="521400C9" wp14:editId="646EF64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9C8B9E5" w14:textId="5F965B4B" w:rsidR="00A02F85" w:rsidRDefault="00A02F85">
                              <w:pPr>
                                <w:pStyle w:val="Header"/>
                                <w:tabs>
                                  <w:tab w:val="clear" w:pos="4680"/>
                                  <w:tab w:val="clear" w:pos="9360"/>
                                </w:tabs>
                                <w:jc w:val="center"/>
                                <w:rPr>
                                  <w:caps/>
                                  <w:color w:val="FFFFFF" w:themeColor="background1"/>
                                </w:rPr>
                              </w:pPr>
                              <w:r>
                                <w:rPr>
                                  <w:caps/>
                                  <w:color w:val="FFFFFF" w:themeColor="background1"/>
                                </w:rPr>
                                <w:t>Climate smart workshop – Toxic contaminants workgroup</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21400C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9C8B9E5" w14:textId="5F965B4B" w:rsidR="00A02F85" w:rsidRDefault="00A02F85">
                        <w:pPr>
                          <w:pStyle w:val="Header"/>
                          <w:tabs>
                            <w:tab w:val="clear" w:pos="4680"/>
                            <w:tab w:val="clear" w:pos="9360"/>
                          </w:tabs>
                          <w:jc w:val="center"/>
                          <w:rPr>
                            <w:caps/>
                            <w:color w:val="FFFFFF" w:themeColor="background1"/>
                          </w:rPr>
                        </w:pPr>
                        <w:r>
                          <w:rPr>
                            <w:caps/>
                            <w:color w:val="FFFFFF" w:themeColor="background1"/>
                          </w:rPr>
                          <w:t>Climate smart workshop – Toxic contaminants workgroup</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27361"/>
    <w:multiLevelType w:val="hybridMultilevel"/>
    <w:tmpl w:val="7740388A"/>
    <w:lvl w:ilvl="0" w:tplc="7EF87F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D4973"/>
    <w:multiLevelType w:val="hybridMultilevel"/>
    <w:tmpl w:val="E7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C5A78"/>
    <w:multiLevelType w:val="hybridMultilevel"/>
    <w:tmpl w:val="EF7C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84730"/>
    <w:multiLevelType w:val="hybridMultilevel"/>
    <w:tmpl w:val="7E2E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60D8F"/>
    <w:multiLevelType w:val="hybridMultilevel"/>
    <w:tmpl w:val="A53A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AF4C35"/>
    <w:multiLevelType w:val="hybridMultilevel"/>
    <w:tmpl w:val="70A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DFC"/>
    <w:rsid w:val="0000092F"/>
    <w:rsid w:val="000649D3"/>
    <w:rsid w:val="00067763"/>
    <w:rsid w:val="0009715B"/>
    <w:rsid w:val="000C5A02"/>
    <w:rsid w:val="000F172E"/>
    <w:rsid w:val="000F23A5"/>
    <w:rsid w:val="000F38D2"/>
    <w:rsid w:val="00104B2B"/>
    <w:rsid w:val="00121B52"/>
    <w:rsid w:val="001670DB"/>
    <w:rsid w:val="00173DBC"/>
    <w:rsid w:val="001A1F50"/>
    <w:rsid w:val="001A4DAD"/>
    <w:rsid w:val="001B3AA9"/>
    <w:rsid w:val="001B3D1C"/>
    <w:rsid w:val="001D2174"/>
    <w:rsid w:val="001D25E2"/>
    <w:rsid w:val="001D6BE0"/>
    <w:rsid w:val="001E2BA2"/>
    <w:rsid w:val="001E45D3"/>
    <w:rsid w:val="0021354F"/>
    <w:rsid w:val="00215C61"/>
    <w:rsid w:val="002279C0"/>
    <w:rsid w:val="00244D27"/>
    <w:rsid w:val="00245ADE"/>
    <w:rsid w:val="0025274A"/>
    <w:rsid w:val="0029318C"/>
    <w:rsid w:val="00293E85"/>
    <w:rsid w:val="00294B5E"/>
    <w:rsid w:val="002B50D3"/>
    <w:rsid w:val="002B7408"/>
    <w:rsid w:val="002B7CD6"/>
    <w:rsid w:val="002C7C16"/>
    <w:rsid w:val="002E1C9D"/>
    <w:rsid w:val="002E4AFC"/>
    <w:rsid w:val="00304B83"/>
    <w:rsid w:val="0031729A"/>
    <w:rsid w:val="0032265D"/>
    <w:rsid w:val="00330F58"/>
    <w:rsid w:val="00352473"/>
    <w:rsid w:val="00356F4C"/>
    <w:rsid w:val="00365370"/>
    <w:rsid w:val="003778CC"/>
    <w:rsid w:val="00380405"/>
    <w:rsid w:val="003A2BB3"/>
    <w:rsid w:val="003A3C65"/>
    <w:rsid w:val="003B182E"/>
    <w:rsid w:val="003B1D15"/>
    <w:rsid w:val="003B4298"/>
    <w:rsid w:val="003B4473"/>
    <w:rsid w:val="003B52D4"/>
    <w:rsid w:val="003B5403"/>
    <w:rsid w:val="003D4D07"/>
    <w:rsid w:val="003F07C4"/>
    <w:rsid w:val="004112EB"/>
    <w:rsid w:val="004462F4"/>
    <w:rsid w:val="00472A1A"/>
    <w:rsid w:val="00480663"/>
    <w:rsid w:val="00481801"/>
    <w:rsid w:val="00481E2B"/>
    <w:rsid w:val="00482B59"/>
    <w:rsid w:val="00490158"/>
    <w:rsid w:val="00490AA6"/>
    <w:rsid w:val="00493863"/>
    <w:rsid w:val="00495C3A"/>
    <w:rsid w:val="004A5E29"/>
    <w:rsid w:val="004A6873"/>
    <w:rsid w:val="004A7795"/>
    <w:rsid w:val="004B3773"/>
    <w:rsid w:val="004C758C"/>
    <w:rsid w:val="004D76B0"/>
    <w:rsid w:val="004E525E"/>
    <w:rsid w:val="004E7224"/>
    <w:rsid w:val="004F5044"/>
    <w:rsid w:val="005161DA"/>
    <w:rsid w:val="0053702B"/>
    <w:rsid w:val="005412ED"/>
    <w:rsid w:val="0056092E"/>
    <w:rsid w:val="0056582F"/>
    <w:rsid w:val="00583A7E"/>
    <w:rsid w:val="00595019"/>
    <w:rsid w:val="005A6037"/>
    <w:rsid w:val="005A7B25"/>
    <w:rsid w:val="005D7D14"/>
    <w:rsid w:val="005E243B"/>
    <w:rsid w:val="005E5889"/>
    <w:rsid w:val="005F6629"/>
    <w:rsid w:val="00605A9D"/>
    <w:rsid w:val="00607CBE"/>
    <w:rsid w:val="0061747C"/>
    <w:rsid w:val="006268CC"/>
    <w:rsid w:val="0064440D"/>
    <w:rsid w:val="006679B1"/>
    <w:rsid w:val="0068263E"/>
    <w:rsid w:val="006C36E4"/>
    <w:rsid w:val="006F52B1"/>
    <w:rsid w:val="007152F0"/>
    <w:rsid w:val="0071707A"/>
    <w:rsid w:val="00745AD5"/>
    <w:rsid w:val="007466D7"/>
    <w:rsid w:val="0076501A"/>
    <w:rsid w:val="00782716"/>
    <w:rsid w:val="0078638C"/>
    <w:rsid w:val="0079179F"/>
    <w:rsid w:val="00794050"/>
    <w:rsid w:val="007A01B2"/>
    <w:rsid w:val="007C1EB2"/>
    <w:rsid w:val="007D0B55"/>
    <w:rsid w:val="00802CA2"/>
    <w:rsid w:val="00812A67"/>
    <w:rsid w:val="00812FD7"/>
    <w:rsid w:val="00827796"/>
    <w:rsid w:val="00845DFC"/>
    <w:rsid w:val="008523D2"/>
    <w:rsid w:val="0086572E"/>
    <w:rsid w:val="00867108"/>
    <w:rsid w:val="00873AF9"/>
    <w:rsid w:val="008A1E59"/>
    <w:rsid w:val="008B0E0C"/>
    <w:rsid w:val="008B7C1B"/>
    <w:rsid w:val="008D6B40"/>
    <w:rsid w:val="008D6DF5"/>
    <w:rsid w:val="008E2196"/>
    <w:rsid w:val="008F7342"/>
    <w:rsid w:val="009126AC"/>
    <w:rsid w:val="00942341"/>
    <w:rsid w:val="009534E5"/>
    <w:rsid w:val="00961ECA"/>
    <w:rsid w:val="00975C86"/>
    <w:rsid w:val="00984085"/>
    <w:rsid w:val="00991F70"/>
    <w:rsid w:val="009B784F"/>
    <w:rsid w:val="009D205B"/>
    <w:rsid w:val="009D5391"/>
    <w:rsid w:val="009E780D"/>
    <w:rsid w:val="00A02F85"/>
    <w:rsid w:val="00A062A7"/>
    <w:rsid w:val="00A15CF5"/>
    <w:rsid w:val="00A24F89"/>
    <w:rsid w:val="00A34F27"/>
    <w:rsid w:val="00A42CE9"/>
    <w:rsid w:val="00A70133"/>
    <w:rsid w:val="00A73303"/>
    <w:rsid w:val="00AA337C"/>
    <w:rsid w:val="00AA7555"/>
    <w:rsid w:val="00AC24B7"/>
    <w:rsid w:val="00AD5D14"/>
    <w:rsid w:val="00AD5FB7"/>
    <w:rsid w:val="00B12E9E"/>
    <w:rsid w:val="00B227AC"/>
    <w:rsid w:val="00B22815"/>
    <w:rsid w:val="00B25180"/>
    <w:rsid w:val="00B40DB6"/>
    <w:rsid w:val="00B51BD5"/>
    <w:rsid w:val="00B6251F"/>
    <w:rsid w:val="00B71B47"/>
    <w:rsid w:val="00B72DF0"/>
    <w:rsid w:val="00B86C4B"/>
    <w:rsid w:val="00B87564"/>
    <w:rsid w:val="00B96FDE"/>
    <w:rsid w:val="00BA062C"/>
    <w:rsid w:val="00BA18A1"/>
    <w:rsid w:val="00BA2D08"/>
    <w:rsid w:val="00BB7901"/>
    <w:rsid w:val="00BD1546"/>
    <w:rsid w:val="00BD4B52"/>
    <w:rsid w:val="00BD4FFD"/>
    <w:rsid w:val="00BE75E9"/>
    <w:rsid w:val="00C0482E"/>
    <w:rsid w:val="00C14CAD"/>
    <w:rsid w:val="00C3391A"/>
    <w:rsid w:val="00C51F28"/>
    <w:rsid w:val="00C5479E"/>
    <w:rsid w:val="00CA067E"/>
    <w:rsid w:val="00CB7248"/>
    <w:rsid w:val="00CD0A95"/>
    <w:rsid w:val="00CD2D64"/>
    <w:rsid w:val="00CD635A"/>
    <w:rsid w:val="00CD6EEF"/>
    <w:rsid w:val="00CE07CA"/>
    <w:rsid w:val="00CF44E5"/>
    <w:rsid w:val="00CF546E"/>
    <w:rsid w:val="00CF6EF4"/>
    <w:rsid w:val="00D059B4"/>
    <w:rsid w:val="00D078DD"/>
    <w:rsid w:val="00D101E6"/>
    <w:rsid w:val="00D11C9D"/>
    <w:rsid w:val="00D15EBA"/>
    <w:rsid w:val="00D43FAA"/>
    <w:rsid w:val="00D47C59"/>
    <w:rsid w:val="00D67766"/>
    <w:rsid w:val="00D76A8C"/>
    <w:rsid w:val="00D84067"/>
    <w:rsid w:val="00D901AC"/>
    <w:rsid w:val="00D971CB"/>
    <w:rsid w:val="00DC0C3C"/>
    <w:rsid w:val="00E05FAB"/>
    <w:rsid w:val="00E10195"/>
    <w:rsid w:val="00E1040C"/>
    <w:rsid w:val="00E133EE"/>
    <w:rsid w:val="00E1396E"/>
    <w:rsid w:val="00E24440"/>
    <w:rsid w:val="00E263C8"/>
    <w:rsid w:val="00E41781"/>
    <w:rsid w:val="00E44A6A"/>
    <w:rsid w:val="00E44DC7"/>
    <w:rsid w:val="00E45FC1"/>
    <w:rsid w:val="00E62AF0"/>
    <w:rsid w:val="00E758F6"/>
    <w:rsid w:val="00E76129"/>
    <w:rsid w:val="00E8618E"/>
    <w:rsid w:val="00E918F6"/>
    <w:rsid w:val="00E94B03"/>
    <w:rsid w:val="00EB698F"/>
    <w:rsid w:val="00EC2558"/>
    <w:rsid w:val="00ED64BA"/>
    <w:rsid w:val="00F0326A"/>
    <w:rsid w:val="00F105DD"/>
    <w:rsid w:val="00F325CB"/>
    <w:rsid w:val="00F372B8"/>
    <w:rsid w:val="00F372E3"/>
    <w:rsid w:val="00F41D72"/>
    <w:rsid w:val="00F508C2"/>
    <w:rsid w:val="00F52093"/>
    <w:rsid w:val="00F76C6E"/>
    <w:rsid w:val="00F771F1"/>
    <w:rsid w:val="00FB2197"/>
    <w:rsid w:val="00FB38C3"/>
    <w:rsid w:val="00FC3EA5"/>
    <w:rsid w:val="00FC451A"/>
    <w:rsid w:val="00FC7EC9"/>
    <w:rsid w:val="00FD1D2B"/>
    <w:rsid w:val="00FE486A"/>
    <w:rsid w:val="00FE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DB95B"/>
  <w15:chartTrackingRefBased/>
  <w15:docId w15:val="{781D56CF-6C7F-48C9-8E34-4AA3A863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DFC"/>
    <w:rPr>
      <w:rFonts w:ascii="Calibri" w:eastAsia="Times New Roman" w:hAnsi="Calibri" w:cs="Times New Roman"/>
    </w:rPr>
  </w:style>
  <w:style w:type="paragraph" w:styleId="Heading1">
    <w:name w:val="heading 1"/>
    <w:basedOn w:val="Normal"/>
    <w:next w:val="Normal"/>
    <w:link w:val="Heading1Char"/>
    <w:uiPriority w:val="9"/>
    <w:qFormat/>
    <w:rsid w:val="006826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7B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05A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C16"/>
    <w:pPr>
      <w:ind w:left="720"/>
      <w:contextualSpacing/>
    </w:pPr>
  </w:style>
  <w:style w:type="paragraph" w:customStyle="1" w:styleId="FigureCaption">
    <w:name w:val="FigureCaption"/>
    <w:basedOn w:val="Caption"/>
    <w:uiPriority w:val="99"/>
    <w:semiHidden/>
    <w:qFormat/>
    <w:rsid w:val="00782716"/>
  </w:style>
  <w:style w:type="character" w:customStyle="1" w:styleId="TableTextChar">
    <w:name w:val="Table Text Char"/>
    <w:basedOn w:val="DefaultParagraphFont"/>
    <w:link w:val="TableText"/>
    <w:semiHidden/>
    <w:locked/>
    <w:rsid w:val="00782716"/>
    <w:rPr>
      <w:rFonts w:ascii="Times New Roman" w:eastAsia="Times New Roman" w:hAnsi="Times New Roman" w:cs="Arial"/>
      <w:bCs/>
      <w:color w:val="000000"/>
      <w:szCs w:val="24"/>
    </w:rPr>
  </w:style>
  <w:style w:type="paragraph" w:customStyle="1" w:styleId="TableText">
    <w:name w:val="Table Text"/>
    <w:basedOn w:val="Normal"/>
    <w:link w:val="TableTextChar"/>
    <w:semiHidden/>
    <w:qFormat/>
    <w:rsid w:val="00782716"/>
    <w:pPr>
      <w:spacing w:after="0" w:line="240" w:lineRule="auto"/>
    </w:pPr>
    <w:rPr>
      <w:rFonts w:ascii="Times New Roman" w:hAnsi="Times New Roman" w:cs="Arial"/>
      <w:bCs/>
      <w:color w:val="000000"/>
      <w:szCs w:val="24"/>
    </w:rPr>
  </w:style>
  <w:style w:type="table" w:styleId="GridTable1Light">
    <w:name w:val="Grid Table 1 Light"/>
    <w:basedOn w:val="TableNormal"/>
    <w:uiPriority w:val="46"/>
    <w:rsid w:val="00782716"/>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rsid w:val="0078271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E07CA"/>
    <w:rPr>
      <w:sz w:val="16"/>
      <w:szCs w:val="16"/>
    </w:rPr>
  </w:style>
  <w:style w:type="paragraph" w:styleId="CommentText">
    <w:name w:val="annotation text"/>
    <w:basedOn w:val="Normal"/>
    <w:link w:val="CommentTextChar"/>
    <w:uiPriority w:val="99"/>
    <w:semiHidden/>
    <w:unhideWhenUsed/>
    <w:rsid w:val="00CE07CA"/>
    <w:pPr>
      <w:spacing w:line="240" w:lineRule="auto"/>
    </w:pPr>
    <w:rPr>
      <w:sz w:val="20"/>
      <w:szCs w:val="20"/>
    </w:rPr>
  </w:style>
  <w:style w:type="character" w:customStyle="1" w:styleId="CommentTextChar">
    <w:name w:val="Comment Text Char"/>
    <w:basedOn w:val="DefaultParagraphFont"/>
    <w:link w:val="CommentText"/>
    <w:uiPriority w:val="99"/>
    <w:semiHidden/>
    <w:rsid w:val="00CE07C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E07CA"/>
    <w:rPr>
      <w:b/>
      <w:bCs/>
    </w:rPr>
  </w:style>
  <w:style w:type="character" w:customStyle="1" w:styleId="CommentSubjectChar">
    <w:name w:val="Comment Subject Char"/>
    <w:basedOn w:val="CommentTextChar"/>
    <w:link w:val="CommentSubject"/>
    <w:uiPriority w:val="99"/>
    <w:semiHidden/>
    <w:rsid w:val="00CE07CA"/>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CE0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7CA"/>
    <w:rPr>
      <w:rFonts w:ascii="Segoe UI" w:eastAsia="Times New Roman" w:hAnsi="Segoe UI" w:cs="Segoe UI"/>
      <w:sz w:val="18"/>
      <w:szCs w:val="18"/>
    </w:rPr>
  </w:style>
  <w:style w:type="character" w:styleId="Hyperlink">
    <w:name w:val="Hyperlink"/>
    <w:basedOn w:val="DefaultParagraphFont"/>
    <w:uiPriority w:val="99"/>
    <w:unhideWhenUsed/>
    <w:rsid w:val="00D43FAA"/>
    <w:rPr>
      <w:color w:val="0563C1" w:themeColor="hyperlink"/>
      <w:u w:val="single"/>
    </w:rPr>
  </w:style>
  <w:style w:type="character" w:customStyle="1" w:styleId="Heading1Char">
    <w:name w:val="Heading 1 Char"/>
    <w:basedOn w:val="DefaultParagraphFont"/>
    <w:link w:val="Heading1"/>
    <w:uiPriority w:val="9"/>
    <w:rsid w:val="0068263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D64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4BA"/>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356F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F4C"/>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56F4C"/>
    <w:rPr>
      <w:vertAlign w:val="superscript"/>
    </w:rPr>
  </w:style>
  <w:style w:type="character" w:customStyle="1" w:styleId="Heading2Char">
    <w:name w:val="Heading 2 Char"/>
    <w:basedOn w:val="DefaultParagraphFont"/>
    <w:link w:val="Heading2"/>
    <w:uiPriority w:val="9"/>
    <w:rsid w:val="005A7B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05A9D"/>
    <w:rPr>
      <w:rFonts w:asciiTheme="majorHAnsi" w:eastAsiaTheme="majorEastAsia" w:hAnsiTheme="majorHAnsi" w:cstheme="majorBidi"/>
      <w:color w:val="1F4D78" w:themeColor="accent1" w:themeShade="7F"/>
      <w:sz w:val="24"/>
      <w:szCs w:val="24"/>
    </w:rPr>
  </w:style>
  <w:style w:type="character" w:styleId="IntenseReference">
    <w:name w:val="Intense Reference"/>
    <w:basedOn w:val="DefaultParagraphFont"/>
    <w:uiPriority w:val="32"/>
    <w:qFormat/>
    <w:rsid w:val="00605A9D"/>
    <w:rPr>
      <w:b/>
      <w:bCs/>
      <w:smallCaps/>
      <w:color w:val="5B9BD5" w:themeColor="accent1"/>
      <w:spacing w:val="5"/>
    </w:rPr>
  </w:style>
  <w:style w:type="paragraph" w:styleId="Header">
    <w:name w:val="header"/>
    <w:basedOn w:val="Normal"/>
    <w:link w:val="HeaderChar"/>
    <w:uiPriority w:val="99"/>
    <w:unhideWhenUsed/>
    <w:rsid w:val="00A02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F85"/>
    <w:rPr>
      <w:rFonts w:ascii="Calibri" w:eastAsia="Times New Roman" w:hAnsi="Calibri" w:cs="Times New Roman"/>
    </w:rPr>
  </w:style>
  <w:style w:type="paragraph" w:styleId="Footer">
    <w:name w:val="footer"/>
    <w:basedOn w:val="Normal"/>
    <w:link w:val="FooterChar"/>
    <w:uiPriority w:val="99"/>
    <w:unhideWhenUsed/>
    <w:rsid w:val="00A02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F8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cid:image002.jpg@01D2FB22.2215F59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riskfinder.climatecentral.org/state/virginia.us?comparisonType=county&amp;forecastType=NOAA2017_int_p50&amp;impact=EPA&amp;impactGroup=Contamination+Risks&amp;level=5&amp;unit=ft"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iskfinder.climatecentral.org/state/virginia.us?comparisonType=county&amp;forecastType=NOAA2017_int_p50&amp;impact=EPA&amp;impactGroup=Contamination+Risks&amp;level=5&amp;unit=ft" TargetMode="External"/><Relationship Id="rId20" Type="http://schemas.openxmlformats.org/officeDocument/2006/relationships/image" Target="cid:image004.jpg@01D2FB22.2215F5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vaemergency.gov/prepare-recover/threats/hurricane-storm-surge-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3B27B-69F6-444E-A7A3-1924D3E2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Pages>
  <Words>2613</Words>
  <Characters>14896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Climate smart workshop – Toxic contaminants workgroup</vt:lpstr>
    </vt:vector>
  </TitlesOfParts>
  <Company>Tetra Tech</Company>
  <LinksUpToDate>false</LinksUpToDate>
  <CharactersWithSpaces>17475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smart workshop – Toxic contaminants workgroup</dc:title>
  <dc:subject/>
  <dc:creator>Hamilton, Anna</dc:creator>
  <cp:keywords/>
  <dc:description/>
  <cp:lastModifiedBy>Hamilton, Anna</cp:lastModifiedBy>
  <cp:revision>39</cp:revision>
  <dcterms:created xsi:type="dcterms:W3CDTF">2017-07-27T18:38:00Z</dcterms:created>
  <dcterms:modified xsi:type="dcterms:W3CDTF">2017-07-29T22:11:00Z</dcterms:modified>
</cp:coreProperties>
</file>